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109" w:rsidRDefault="000B0109" w:rsidP="000B0109">
      <w:pPr>
        <w:pStyle w:val="a3"/>
        <w:ind w:firstLine="600"/>
        <w:rPr>
          <w:rFonts w:hint="eastAsia"/>
          <w:sz w:val="30"/>
          <w:szCs w:val="30"/>
        </w:rPr>
      </w:pPr>
    </w:p>
    <w:tbl>
      <w:tblPr>
        <w:tblW w:w="0" w:type="auto"/>
        <w:jc w:val="center"/>
        <w:tblLayout w:type="fixed"/>
        <w:tblCellMar>
          <w:left w:w="0" w:type="dxa"/>
          <w:right w:w="0" w:type="dxa"/>
        </w:tblCellMar>
        <w:tblLook w:val="0000" w:firstRow="0" w:lastRow="0" w:firstColumn="0" w:lastColumn="0" w:noHBand="0" w:noVBand="0"/>
      </w:tblPr>
      <w:tblGrid>
        <w:gridCol w:w="475"/>
        <w:gridCol w:w="658"/>
        <w:gridCol w:w="906"/>
        <w:gridCol w:w="6162"/>
        <w:gridCol w:w="1084"/>
      </w:tblGrid>
      <w:tr w:rsidR="000B0109" w:rsidTr="00557206">
        <w:trPr>
          <w:trHeight w:val="619"/>
          <w:jc w:val="center"/>
        </w:trPr>
        <w:tc>
          <w:tcPr>
            <w:tcW w:w="9285" w:type="dxa"/>
            <w:gridSpan w:val="5"/>
            <w:tcBorders>
              <w:top w:val="nil"/>
              <w:left w:val="nil"/>
              <w:bottom w:val="nil"/>
              <w:right w:val="nil"/>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sz w:val="28"/>
                <w:szCs w:val="28"/>
              </w:rPr>
            </w:pPr>
            <w:r>
              <w:rPr>
                <w:rFonts w:ascii="宋体" w:hAnsi="宋体" w:cs="宋体" w:hint="eastAsia"/>
                <w:b/>
                <w:kern w:val="0"/>
                <w:sz w:val="28"/>
                <w:szCs w:val="28"/>
                <w:lang w:bidi="ar"/>
              </w:rPr>
              <w:t>福建省普通国省干线公路建设项目信用考核评分标准（施工单位）</w:t>
            </w:r>
          </w:p>
        </w:tc>
      </w:tr>
      <w:tr w:rsidR="000B0109" w:rsidTr="00557206">
        <w:trPr>
          <w:trHeight w:val="582"/>
          <w:jc w:val="center"/>
        </w:trPr>
        <w:tc>
          <w:tcPr>
            <w:tcW w:w="475" w:type="dxa"/>
            <w:tcBorders>
              <w:top w:val="single" w:sz="12"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sz w:val="20"/>
                <w:szCs w:val="20"/>
              </w:rPr>
            </w:pPr>
            <w:r>
              <w:rPr>
                <w:rFonts w:ascii="宋体" w:hAnsi="宋体" w:cs="宋体" w:hint="eastAsia"/>
                <w:b/>
                <w:kern w:val="0"/>
                <w:sz w:val="20"/>
                <w:szCs w:val="20"/>
                <w:lang w:bidi="ar"/>
              </w:rPr>
              <w:t>序号</w:t>
            </w:r>
          </w:p>
        </w:tc>
        <w:tc>
          <w:tcPr>
            <w:tcW w:w="1564" w:type="dxa"/>
            <w:gridSpan w:val="2"/>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sz w:val="20"/>
                <w:szCs w:val="20"/>
              </w:rPr>
            </w:pPr>
            <w:r>
              <w:rPr>
                <w:rFonts w:ascii="宋体" w:hAnsi="宋体" w:cs="宋体" w:hint="eastAsia"/>
                <w:b/>
                <w:kern w:val="0"/>
                <w:sz w:val="20"/>
                <w:szCs w:val="20"/>
                <w:lang w:bidi="ar"/>
              </w:rPr>
              <w:t>考评项目</w:t>
            </w:r>
          </w:p>
        </w:tc>
        <w:tc>
          <w:tcPr>
            <w:tcW w:w="6162" w:type="dxa"/>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sz w:val="20"/>
                <w:szCs w:val="20"/>
              </w:rPr>
            </w:pPr>
            <w:r>
              <w:rPr>
                <w:rFonts w:ascii="宋体" w:hAnsi="宋体" w:cs="宋体" w:hint="eastAsia"/>
                <w:b/>
                <w:kern w:val="0"/>
                <w:sz w:val="20"/>
                <w:szCs w:val="20"/>
                <w:lang w:bidi="ar"/>
              </w:rPr>
              <w:t>考评标准</w:t>
            </w:r>
          </w:p>
        </w:tc>
        <w:tc>
          <w:tcPr>
            <w:tcW w:w="1084" w:type="dxa"/>
            <w:tcBorders>
              <w:top w:val="single" w:sz="12"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sz w:val="20"/>
                <w:szCs w:val="20"/>
              </w:rPr>
            </w:pPr>
            <w:r>
              <w:rPr>
                <w:rFonts w:ascii="宋体" w:hAnsi="宋体" w:cs="宋体" w:hint="eastAsia"/>
                <w:b/>
                <w:kern w:val="0"/>
                <w:sz w:val="20"/>
                <w:szCs w:val="20"/>
                <w:lang w:bidi="ar"/>
              </w:rPr>
              <w:t>扣分或加分</w:t>
            </w:r>
          </w:p>
        </w:tc>
      </w:tr>
      <w:tr w:rsidR="000B0109" w:rsidTr="00557206">
        <w:trPr>
          <w:trHeight w:val="1800"/>
          <w:jc w:val="center"/>
        </w:trPr>
        <w:tc>
          <w:tcPr>
            <w:tcW w:w="475" w:type="dxa"/>
            <w:vMerge w:val="restart"/>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sz w:val="20"/>
                <w:szCs w:val="20"/>
              </w:rPr>
            </w:pPr>
            <w:r>
              <w:rPr>
                <w:rFonts w:ascii="宋体" w:hAnsi="宋体" w:cs="宋体" w:hint="eastAsia"/>
                <w:b/>
                <w:kern w:val="0"/>
                <w:sz w:val="20"/>
                <w:szCs w:val="20"/>
                <w:lang w:bidi="ar"/>
              </w:rPr>
              <w:t>1</w:t>
            </w:r>
          </w:p>
        </w:tc>
        <w:tc>
          <w:tcPr>
            <w:tcW w:w="6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人员履职（15分）</w:t>
            </w:r>
          </w:p>
        </w:tc>
        <w:tc>
          <w:tcPr>
            <w:tcW w:w="9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人员到岗（5分）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sz w:val="20"/>
                <w:szCs w:val="20"/>
              </w:rPr>
            </w:pPr>
            <w:r>
              <w:rPr>
                <w:rFonts w:ascii="宋体" w:hAnsi="宋体" w:cs="宋体" w:hint="eastAsia"/>
                <w:kern w:val="0"/>
                <w:sz w:val="20"/>
                <w:szCs w:val="20"/>
                <w:lang w:bidi="ar"/>
              </w:rPr>
              <w:t>主要管理人员应到岗履职，若需更换，必须报业主批准。</w:t>
            </w:r>
            <w:r>
              <w:rPr>
                <w:rFonts w:ascii="宋体" w:hAnsi="宋体" w:cs="宋体" w:hint="eastAsia"/>
                <w:kern w:val="0"/>
                <w:sz w:val="20"/>
                <w:szCs w:val="20"/>
                <w:lang w:bidi="ar"/>
              </w:rPr>
              <w:br/>
              <w:t>1、更换人员资格条件低于投标文件承诺的，或未经业主批准更换，主要人员每人次扣2分，其他人员每人次扣0.5分；</w:t>
            </w:r>
            <w:r>
              <w:rPr>
                <w:rFonts w:ascii="宋体" w:hAnsi="宋体" w:cs="宋体" w:hint="eastAsia"/>
                <w:kern w:val="0"/>
                <w:sz w:val="20"/>
                <w:szCs w:val="20"/>
                <w:lang w:bidi="ar"/>
              </w:rPr>
              <w:br/>
              <w:t>2、项目经理、技术负责人未到岗履职，每人次扣1分（现场提供业主批复同意请假的除外）；</w:t>
            </w:r>
            <w:r>
              <w:rPr>
                <w:rFonts w:ascii="宋体" w:hAnsi="宋体" w:cs="宋体" w:hint="eastAsia"/>
                <w:kern w:val="0"/>
                <w:sz w:val="20"/>
                <w:szCs w:val="20"/>
                <w:lang w:bidi="ar"/>
              </w:rPr>
              <w:br/>
              <w:t>3、专业工程师进场人数少于投标承诺的（专业工程师按照施工阶段进场），每人次扣0.5分。</w:t>
            </w:r>
          </w:p>
        </w:tc>
        <w:tc>
          <w:tcPr>
            <w:tcW w:w="1084"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b/>
                <w:sz w:val="20"/>
                <w:szCs w:val="20"/>
              </w:rPr>
            </w:pPr>
          </w:p>
        </w:tc>
      </w:tr>
      <w:tr w:rsidR="000B0109" w:rsidTr="00557206">
        <w:trPr>
          <w:trHeight w:val="780"/>
          <w:jc w:val="center"/>
        </w:trPr>
        <w:tc>
          <w:tcPr>
            <w:tcW w:w="475" w:type="dxa"/>
            <w:vMerge/>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b/>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履职实效（10分）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b/>
                <w:sz w:val="20"/>
                <w:szCs w:val="20"/>
              </w:rPr>
            </w:pPr>
            <w:r>
              <w:rPr>
                <w:rFonts w:ascii="宋体" w:hAnsi="宋体" w:cs="宋体" w:hint="eastAsia"/>
                <w:b/>
                <w:kern w:val="0"/>
                <w:sz w:val="20"/>
                <w:szCs w:val="20"/>
                <w:lang w:bidi="ar"/>
              </w:rPr>
              <w:t>履职实效分=10*[除人员履职及进度管理考核项外的总得分（含加分项）]/70</w:t>
            </w:r>
          </w:p>
        </w:tc>
        <w:tc>
          <w:tcPr>
            <w:tcW w:w="1084"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b/>
                <w:sz w:val="20"/>
                <w:szCs w:val="20"/>
              </w:rPr>
            </w:pPr>
          </w:p>
        </w:tc>
      </w:tr>
      <w:tr w:rsidR="000B0109" w:rsidTr="00557206">
        <w:trPr>
          <w:trHeight w:val="1120"/>
          <w:jc w:val="center"/>
        </w:trPr>
        <w:tc>
          <w:tcPr>
            <w:tcW w:w="475" w:type="dxa"/>
            <w:vMerge w:val="restart"/>
            <w:tcBorders>
              <w:top w:val="single" w:sz="4" w:space="0" w:color="000000"/>
              <w:left w:val="single" w:sz="12" w:space="0" w:color="000000"/>
              <w:bottom w:val="nil"/>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2</w:t>
            </w:r>
          </w:p>
        </w:tc>
        <w:tc>
          <w:tcPr>
            <w:tcW w:w="6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进度管理（15分）</w:t>
            </w:r>
          </w:p>
        </w:tc>
        <w:tc>
          <w:tcPr>
            <w:tcW w:w="9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进度计划编制与调整（3分）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sz w:val="20"/>
                <w:szCs w:val="20"/>
              </w:rPr>
            </w:pPr>
            <w:r>
              <w:rPr>
                <w:rFonts w:ascii="宋体" w:hAnsi="宋体" w:cs="宋体" w:hint="eastAsia"/>
                <w:kern w:val="0"/>
                <w:sz w:val="20"/>
                <w:szCs w:val="20"/>
                <w:lang w:bidi="ar"/>
              </w:rPr>
              <w:t>1、未按要求编制总体、年、月、控制性工程施工进度计划及调整进度计划、节后复工施工计划等资料的，每项扣1分；</w:t>
            </w:r>
            <w:r>
              <w:rPr>
                <w:rFonts w:ascii="宋体" w:hAnsi="宋体" w:cs="宋体" w:hint="eastAsia"/>
                <w:kern w:val="0"/>
                <w:sz w:val="20"/>
                <w:szCs w:val="20"/>
                <w:lang w:bidi="ar"/>
              </w:rPr>
              <w:br/>
              <w:t>2、进度计划编制与现场实际比对，不符合项目实际，扣0.5分；或未体现施工组织及人、料、机计划工作内容、流于形式的，扣0.5分。</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r>
      <w:tr w:rsidR="000B0109" w:rsidTr="00557206">
        <w:trPr>
          <w:trHeight w:val="1590"/>
          <w:jc w:val="center"/>
        </w:trPr>
        <w:tc>
          <w:tcPr>
            <w:tcW w:w="475" w:type="dxa"/>
            <w:vMerge/>
            <w:tcBorders>
              <w:top w:val="single" w:sz="4" w:space="0" w:color="000000"/>
              <w:left w:val="single" w:sz="12" w:space="0" w:color="000000"/>
              <w:bottom w:val="nil"/>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9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实际进度（12分）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b/>
                <w:sz w:val="20"/>
                <w:szCs w:val="20"/>
              </w:rPr>
            </w:pPr>
            <w:r>
              <w:rPr>
                <w:rStyle w:val="font01"/>
                <w:rFonts w:hint="default"/>
                <w:lang w:bidi="ar"/>
              </w:rPr>
              <w:t>进度总体正常、控制性工程进度可控，或进度滞后但积极采取相关进度补救措施，加大施工要素投入力度并调整进度计划，取得实效的得12分</w:t>
            </w:r>
            <w:r>
              <w:rPr>
                <w:rStyle w:val="font61"/>
                <w:rFonts w:hint="default"/>
                <w:color w:val="auto"/>
                <w:lang w:bidi="ar"/>
              </w:rPr>
              <w:t>，若出现以下情形的：</w:t>
            </w:r>
            <w:r>
              <w:rPr>
                <w:rStyle w:val="font61"/>
                <w:rFonts w:hint="default"/>
                <w:color w:val="auto"/>
                <w:lang w:bidi="ar"/>
              </w:rPr>
              <w:br/>
              <w:t>1、因施工单位投入不足，与总体进度计划相比，关键节点进度明显滞后的，扣3-5分。</w:t>
            </w:r>
            <w:r>
              <w:rPr>
                <w:rStyle w:val="font61"/>
                <w:rFonts w:hint="default"/>
                <w:color w:val="auto"/>
                <w:lang w:bidi="ar"/>
              </w:rPr>
              <w:br/>
              <w:t>2、</w:t>
            </w:r>
            <w:proofErr w:type="gramStart"/>
            <w:r>
              <w:rPr>
                <w:rStyle w:val="font61"/>
                <w:rFonts w:hint="default"/>
                <w:color w:val="auto"/>
                <w:lang w:bidi="ar"/>
              </w:rPr>
              <w:t>超合同</w:t>
            </w:r>
            <w:proofErr w:type="gramEnd"/>
            <w:r>
              <w:rPr>
                <w:rStyle w:val="font61"/>
                <w:rFonts w:hint="default"/>
                <w:color w:val="auto"/>
                <w:lang w:bidi="ar"/>
              </w:rPr>
              <w:t>工期进度，每超1个月扣0.5分,封顶扣5分（现场提供业主相关证明材料，同意延期的不扣分）。</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r>
      <w:tr w:rsidR="000B0109" w:rsidTr="00557206">
        <w:trPr>
          <w:trHeight w:val="3280"/>
          <w:jc w:val="center"/>
        </w:trPr>
        <w:tc>
          <w:tcPr>
            <w:tcW w:w="4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65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工地建设标准化（满分10分）</w:t>
            </w:r>
          </w:p>
        </w:tc>
        <w:tc>
          <w:tcPr>
            <w:tcW w:w="906"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proofErr w:type="gramStart"/>
            <w:r>
              <w:rPr>
                <w:rStyle w:val="font61"/>
                <w:rFonts w:hint="default"/>
                <w:color w:val="auto"/>
                <w:lang w:bidi="ar"/>
              </w:rPr>
              <w:t>分梁片集中</w:t>
            </w:r>
            <w:proofErr w:type="gramEnd"/>
            <w:r>
              <w:rPr>
                <w:rStyle w:val="font61"/>
                <w:rFonts w:hint="default"/>
                <w:color w:val="auto"/>
                <w:lang w:bidi="ar"/>
              </w:rPr>
              <w:t>预制、钢筋集中</w:t>
            </w:r>
            <w:r>
              <w:rPr>
                <w:rStyle w:val="font41"/>
                <w:rFonts w:hint="default"/>
                <w:lang w:bidi="ar"/>
              </w:rPr>
              <w:t>加工</w:t>
            </w:r>
            <w:r>
              <w:rPr>
                <w:rStyle w:val="font61"/>
                <w:rFonts w:hint="default"/>
                <w:color w:val="auto"/>
                <w:lang w:bidi="ar"/>
              </w:rPr>
              <w:t>、混凝土集中拌和、中小构件集中预制、数据集中</w:t>
            </w:r>
            <w:proofErr w:type="gramStart"/>
            <w:r>
              <w:rPr>
                <w:rStyle w:val="font61"/>
                <w:rFonts w:hint="default"/>
                <w:color w:val="auto"/>
                <w:lang w:bidi="ar"/>
              </w:rPr>
              <w:lastRenderedPageBreak/>
              <w:t>管控及驻地</w:t>
            </w:r>
            <w:proofErr w:type="gramEnd"/>
            <w:r>
              <w:rPr>
                <w:rStyle w:val="font61"/>
                <w:rFonts w:hint="default"/>
                <w:color w:val="auto"/>
                <w:lang w:bidi="ar"/>
              </w:rPr>
              <w:t>标准化建设等5大类，</w:t>
            </w:r>
            <w:r>
              <w:rPr>
                <w:rStyle w:val="font61"/>
                <w:rFonts w:hint="default"/>
                <w:b/>
                <w:bCs/>
                <w:color w:val="auto"/>
                <w:lang w:bidi="ar"/>
              </w:rPr>
              <w:t>各分项满分均为10分，最后取所检查项得分算术平均分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sz w:val="20"/>
                <w:szCs w:val="20"/>
              </w:rPr>
            </w:pPr>
            <w:proofErr w:type="gramStart"/>
            <w:r>
              <w:rPr>
                <w:rStyle w:val="font61"/>
                <w:rFonts w:hint="default"/>
                <w:color w:val="auto"/>
                <w:lang w:bidi="ar"/>
              </w:rPr>
              <w:lastRenderedPageBreak/>
              <w:t>梁片集中</w:t>
            </w:r>
            <w:proofErr w:type="gramEnd"/>
            <w:r>
              <w:rPr>
                <w:rStyle w:val="font61"/>
                <w:rFonts w:hint="default"/>
                <w:color w:val="auto"/>
                <w:lang w:bidi="ar"/>
              </w:rPr>
              <w:t>预制（10分）：</w:t>
            </w:r>
            <w:r>
              <w:rPr>
                <w:rStyle w:val="font61"/>
                <w:rFonts w:hint="default"/>
                <w:color w:val="auto"/>
                <w:lang w:bidi="ar"/>
              </w:rPr>
              <w:br/>
              <w:t>1.未落实</w:t>
            </w:r>
            <w:proofErr w:type="gramStart"/>
            <w:r>
              <w:rPr>
                <w:rStyle w:val="font61"/>
                <w:rFonts w:hint="default"/>
                <w:color w:val="auto"/>
                <w:lang w:bidi="ar"/>
              </w:rPr>
              <w:t>梁片集中</w:t>
            </w:r>
            <w:proofErr w:type="gramEnd"/>
            <w:r>
              <w:rPr>
                <w:rStyle w:val="font61"/>
                <w:rFonts w:hint="default"/>
                <w:color w:val="auto"/>
                <w:lang w:bidi="ar"/>
              </w:rPr>
              <w:t>预制，或桥梁</w:t>
            </w:r>
            <w:proofErr w:type="gramStart"/>
            <w:r>
              <w:rPr>
                <w:rStyle w:val="font61"/>
                <w:rFonts w:hint="default"/>
                <w:color w:val="auto"/>
                <w:lang w:bidi="ar"/>
              </w:rPr>
              <w:t>张拉未采用</w:t>
            </w:r>
            <w:proofErr w:type="gramEnd"/>
            <w:r>
              <w:rPr>
                <w:rStyle w:val="font61"/>
                <w:rFonts w:hint="default"/>
                <w:color w:val="auto"/>
                <w:lang w:bidi="ar"/>
              </w:rPr>
              <w:t>智能张</w:t>
            </w:r>
            <w:proofErr w:type="gramStart"/>
            <w:r>
              <w:rPr>
                <w:rStyle w:val="font61"/>
                <w:rFonts w:hint="default"/>
                <w:color w:val="auto"/>
                <w:lang w:bidi="ar"/>
              </w:rPr>
              <w:t>拉施工</w:t>
            </w:r>
            <w:proofErr w:type="gramEnd"/>
            <w:r>
              <w:rPr>
                <w:rStyle w:val="font61"/>
                <w:rFonts w:hint="default"/>
                <w:color w:val="auto"/>
                <w:lang w:bidi="ar"/>
              </w:rPr>
              <w:t xml:space="preserve">工艺的，本项不得分（外购除外）。 </w:t>
            </w:r>
            <w:r>
              <w:rPr>
                <w:rStyle w:val="font61"/>
                <w:rFonts w:hint="default"/>
                <w:color w:val="auto"/>
                <w:lang w:bidi="ar"/>
              </w:rPr>
              <w:br/>
              <w:t>2.预制内、外模未采用钢模板，各扣3分</w:t>
            </w:r>
            <w:r>
              <w:rPr>
                <w:rStyle w:val="font61"/>
                <w:rFonts w:hint="default"/>
                <w:color w:val="auto"/>
                <w:lang w:bidi="ar"/>
              </w:rPr>
              <w:br/>
              <w:t>3.预制场地硬化面积不符合要求，扣2分</w:t>
            </w:r>
            <w:r>
              <w:rPr>
                <w:rStyle w:val="font61"/>
                <w:rFonts w:hint="default"/>
                <w:color w:val="auto"/>
                <w:lang w:bidi="ar"/>
              </w:rPr>
              <w:br/>
              <w:t>4.预制梁骨架钢筋安装时未采用定位架，扣1分；未按设计要求采用预应力管道定位钢筋，扣1分；钢筋</w:t>
            </w:r>
            <w:proofErr w:type="gramStart"/>
            <w:r>
              <w:rPr>
                <w:rStyle w:val="font61"/>
                <w:rFonts w:hint="default"/>
                <w:color w:val="auto"/>
                <w:lang w:bidi="ar"/>
              </w:rPr>
              <w:t>保护层垫块设置</w:t>
            </w:r>
            <w:proofErr w:type="gramEnd"/>
            <w:r>
              <w:rPr>
                <w:rStyle w:val="font61"/>
                <w:rFonts w:hint="default"/>
                <w:color w:val="auto"/>
                <w:lang w:bidi="ar"/>
              </w:rPr>
              <w:t>不符合要求，扣1分；未采用自动喷淋养生设施，或喷淋养生不到位，扣1分。</w:t>
            </w:r>
            <w:r>
              <w:rPr>
                <w:rStyle w:val="font61"/>
                <w:rFonts w:hint="default"/>
                <w:color w:val="auto"/>
                <w:lang w:bidi="ar"/>
              </w:rPr>
              <w:br/>
              <w:t>5.场地积水或排水不畅；</w:t>
            </w:r>
            <w:proofErr w:type="gramStart"/>
            <w:r>
              <w:rPr>
                <w:rStyle w:val="font61"/>
                <w:rFonts w:hint="default"/>
                <w:color w:val="auto"/>
                <w:lang w:bidi="ar"/>
              </w:rPr>
              <w:t>梁片湿</w:t>
            </w:r>
            <w:proofErr w:type="gramEnd"/>
            <w:r>
              <w:rPr>
                <w:rStyle w:val="font61"/>
                <w:rFonts w:hint="default"/>
                <w:color w:val="auto"/>
                <w:lang w:bidi="ar"/>
              </w:rPr>
              <w:t>接缝凿毛不到位；</w:t>
            </w:r>
            <w:proofErr w:type="gramStart"/>
            <w:r>
              <w:rPr>
                <w:rStyle w:val="font61"/>
                <w:rFonts w:hint="default"/>
                <w:color w:val="auto"/>
                <w:lang w:bidi="ar"/>
              </w:rPr>
              <w:t>预应力索张拉</w:t>
            </w:r>
            <w:proofErr w:type="gramEnd"/>
            <w:r>
              <w:rPr>
                <w:rStyle w:val="font61"/>
                <w:rFonts w:hint="default"/>
                <w:color w:val="auto"/>
                <w:lang w:bidi="ar"/>
              </w:rPr>
              <w:t>不及</w:t>
            </w:r>
            <w:r>
              <w:rPr>
                <w:rStyle w:val="font61"/>
                <w:rFonts w:hint="default"/>
                <w:color w:val="auto"/>
                <w:lang w:bidi="ar"/>
              </w:rPr>
              <w:lastRenderedPageBreak/>
              <w:t>时或端头未采取保护措施；预制台座未采用混凝土浇筑；</w:t>
            </w:r>
            <w:proofErr w:type="gramStart"/>
            <w:r>
              <w:rPr>
                <w:rStyle w:val="font61"/>
                <w:rFonts w:hint="default"/>
                <w:color w:val="auto"/>
                <w:lang w:bidi="ar"/>
              </w:rPr>
              <w:t>梁身未喷涂</w:t>
            </w:r>
            <w:proofErr w:type="gramEnd"/>
            <w:r>
              <w:rPr>
                <w:rStyle w:val="font61"/>
                <w:rFonts w:hint="default"/>
                <w:color w:val="auto"/>
                <w:lang w:bidi="ar"/>
              </w:rPr>
              <w:t>统一标识</w:t>
            </w:r>
            <w:proofErr w:type="gramStart"/>
            <w:r>
              <w:rPr>
                <w:rStyle w:val="font61"/>
                <w:rFonts w:hint="default"/>
                <w:color w:val="auto"/>
                <w:lang w:bidi="ar"/>
              </w:rPr>
              <w:t>或贴二维</w:t>
            </w:r>
            <w:proofErr w:type="gramEnd"/>
            <w:r>
              <w:rPr>
                <w:rStyle w:val="font61"/>
                <w:rFonts w:hint="default"/>
                <w:color w:val="auto"/>
                <w:lang w:bidi="ar"/>
              </w:rPr>
              <w:t>码、信息标识不完善，每项扣</w:t>
            </w:r>
            <w:r>
              <w:rPr>
                <w:rStyle w:val="font41"/>
                <w:rFonts w:hint="default"/>
                <w:lang w:bidi="ar"/>
              </w:rPr>
              <w:t>1分。</w:t>
            </w:r>
            <w:r>
              <w:rPr>
                <w:rStyle w:val="font61"/>
                <w:rFonts w:hint="default"/>
                <w:color w:val="auto"/>
                <w:lang w:bidi="ar"/>
              </w:rPr>
              <w:br/>
              <w:t>6.其他不符合</w:t>
            </w:r>
            <w:proofErr w:type="gramStart"/>
            <w:r>
              <w:rPr>
                <w:rStyle w:val="font61"/>
                <w:rFonts w:hint="default"/>
                <w:color w:val="auto"/>
                <w:lang w:bidi="ar"/>
              </w:rPr>
              <w:t>梁片集中</w:t>
            </w:r>
            <w:proofErr w:type="gramEnd"/>
            <w:r>
              <w:rPr>
                <w:rStyle w:val="font61"/>
                <w:rFonts w:hint="default"/>
                <w:color w:val="auto"/>
                <w:lang w:bidi="ar"/>
              </w:rPr>
              <w:t>预制标准化行为，每项扣</w:t>
            </w:r>
            <w:r>
              <w:rPr>
                <w:rStyle w:val="font41"/>
                <w:rFonts w:hint="default"/>
                <w:lang w:bidi="ar"/>
              </w:rPr>
              <w:t>1分，扣完为止</w:t>
            </w:r>
            <w:r>
              <w:rPr>
                <w:rStyle w:val="font61"/>
                <w:rFonts w:hint="default"/>
                <w:color w:val="auto"/>
                <w:lang w:bidi="ar"/>
              </w:rPr>
              <w:t>。</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r>
      <w:tr w:rsidR="000B0109" w:rsidTr="00557206">
        <w:trPr>
          <w:trHeight w:val="2800"/>
          <w:jc w:val="center"/>
        </w:trPr>
        <w:tc>
          <w:tcPr>
            <w:tcW w:w="4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2"/>
                <w:szCs w:val="22"/>
              </w:rPr>
            </w:pPr>
          </w:p>
        </w:tc>
        <w:tc>
          <w:tcPr>
            <w:tcW w:w="6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9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sz w:val="20"/>
                <w:szCs w:val="20"/>
              </w:rPr>
            </w:pPr>
            <w:r>
              <w:rPr>
                <w:rStyle w:val="font61"/>
                <w:rFonts w:hint="default"/>
                <w:color w:val="auto"/>
                <w:lang w:bidi="ar"/>
              </w:rPr>
              <w:t>钢筋集中</w:t>
            </w:r>
            <w:r>
              <w:rPr>
                <w:rStyle w:val="font41"/>
                <w:rFonts w:hint="default"/>
                <w:lang w:bidi="ar"/>
              </w:rPr>
              <w:t>加工</w:t>
            </w:r>
            <w:r>
              <w:rPr>
                <w:rStyle w:val="font61"/>
                <w:rFonts w:hint="default"/>
                <w:color w:val="auto"/>
                <w:lang w:bidi="ar"/>
              </w:rPr>
              <w:t>（10分）</w:t>
            </w:r>
            <w:r>
              <w:rPr>
                <w:rStyle w:val="font61"/>
                <w:rFonts w:hint="default"/>
                <w:color w:val="auto"/>
                <w:lang w:bidi="ar"/>
              </w:rPr>
              <w:br/>
              <w:t>1.未落实钢筋集中加工配送，本项不得分</w:t>
            </w:r>
            <w:r>
              <w:rPr>
                <w:rStyle w:val="font61"/>
                <w:rFonts w:hint="default"/>
                <w:color w:val="auto"/>
                <w:lang w:bidi="ar"/>
              </w:rPr>
              <w:br/>
              <w:t>2.钢筋加工棚面积不符合要求，扣2分</w:t>
            </w:r>
            <w:r>
              <w:rPr>
                <w:rStyle w:val="font61"/>
                <w:rFonts w:hint="default"/>
                <w:color w:val="auto"/>
                <w:lang w:bidi="ar"/>
              </w:rPr>
              <w:br/>
              <w:t>3.结构物钢筋加工总量1千吨以上的未采用数控加工，或2千吨以上的未采用“双数控”加工，</w:t>
            </w:r>
            <w:r>
              <w:rPr>
                <w:rStyle w:val="font41"/>
                <w:rFonts w:hint="default"/>
                <w:lang w:bidi="ar"/>
              </w:rPr>
              <w:t>扣2分</w:t>
            </w:r>
            <w:r>
              <w:rPr>
                <w:rStyle w:val="font61"/>
                <w:rFonts w:hint="default"/>
                <w:color w:val="auto"/>
                <w:lang w:bidi="ar"/>
              </w:rPr>
              <w:br/>
              <w:t>4.场地积水或排水不畅；原材料、半成品或成品未分区堆放；未悬挂对应的钢筋大样图；未按要求设置钢筋标识标牌：钢筋焊接未采用二氧化碳气体保护焊；钢筋机械连接头</w:t>
            </w:r>
            <w:r>
              <w:rPr>
                <w:rStyle w:val="font41"/>
                <w:rFonts w:hint="default"/>
                <w:lang w:bidi="ar"/>
              </w:rPr>
              <w:t>未</w:t>
            </w:r>
            <w:proofErr w:type="gramStart"/>
            <w:r>
              <w:rPr>
                <w:rStyle w:val="font41"/>
                <w:rFonts w:hint="default"/>
                <w:lang w:bidi="ar"/>
              </w:rPr>
              <w:t>按规定钝粗</w:t>
            </w:r>
            <w:r>
              <w:rPr>
                <w:rStyle w:val="font61"/>
                <w:rFonts w:hint="default"/>
                <w:color w:val="auto"/>
                <w:lang w:bidi="ar"/>
              </w:rPr>
              <w:t>或</w:t>
            </w:r>
            <w:proofErr w:type="gramEnd"/>
            <w:r>
              <w:rPr>
                <w:rStyle w:val="font61"/>
                <w:rFonts w:hint="default"/>
                <w:color w:val="auto"/>
                <w:lang w:bidi="ar"/>
              </w:rPr>
              <w:t>未标识套筒位置，每项扣</w:t>
            </w:r>
            <w:r>
              <w:rPr>
                <w:rStyle w:val="font41"/>
                <w:rFonts w:hint="default"/>
                <w:lang w:bidi="ar"/>
              </w:rPr>
              <w:t>1分。</w:t>
            </w:r>
            <w:r>
              <w:rPr>
                <w:rStyle w:val="font61"/>
                <w:rFonts w:hint="default"/>
                <w:color w:val="auto"/>
                <w:lang w:bidi="ar"/>
              </w:rPr>
              <w:br/>
              <w:t>5. 其他不符合钢筋集中加工标准化行为，每项</w:t>
            </w:r>
            <w:r>
              <w:rPr>
                <w:rStyle w:val="font41"/>
                <w:rFonts w:hint="default"/>
                <w:lang w:bidi="ar"/>
              </w:rPr>
              <w:t>扣1分，扣完为止</w:t>
            </w:r>
            <w:r>
              <w:rPr>
                <w:rStyle w:val="font61"/>
                <w:rFonts w:hint="default"/>
                <w:color w:val="auto"/>
                <w:lang w:bidi="ar"/>
              </w:rPr>
              <w:t>。</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r>
      <w:tr w:rsidR="000B0109" w:rsidTr="00557206">
        <w:trPr>
          <w:trHeight w:val="2180"/>
          <w:jc w:val="center"/>
        </w:trPr>
        <w:tc>
          <w:tcPr>
            <w:tcW w:w="4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2"/>
                <w:szCs w:val="22"/>
              </w:rPr>
            </w:pPr>
          </w:p>
        </w:tc>
        <w:tc>
          <w:tcPr>
            <w:tcW w:w="6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9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sz w:val="20"/>
                <w:szCs w:val="20"/>
              </w:rPr>
            </w:pPr>
            <w:r>
              <w:rPr>
                <w:rStyle w:val="font61"/>
                <w:rFonts w:hint="default"/>
                <w:color w:val="auto"/>
                <w:lang w:bidi="ar"/>
              </w:rPr>
              <w:t>混凝土集中拌和（10分）：</w:t>
            </w:r>
            <w:r>
              <w:rPr>
                <w:rStyle w:val="font61"/>
                <w:rFonts w:hint="default"/>
                <w:color w:val="auto"/>
                <w:lang w:bidi="ar"/>
              </w:rPr>
              <w:br/>
              <w:t>1.未落实混凝土集中拌和，本项不得分（商</w:t>
            </w:r>
            <w:proofErr w:type="gramStart"/>
            <w:r>
              <w:rPr>
                <w:rStyle w:val="font61"/>
                <w:rFonts w:hint="default"/>
                <w:color w:val="auto"/>
                <w:lang w:bidi="ar"/>
              </w:rPr>
              <w:t>砼</w:t>
            </w:r>
            <w:proofErr w:type="gramEnd"/>
            <w:r>
              <w:rPr>
                <w:rStyle w:val="font61"/>
                <w:rFonts w:hint="default"/>
                <w:color w:val="auto"/>
                <w:lang w:bidi="ar"/>
              </w:rPr>
              <w:t>除外）</w:t>
            </w:r>
            <w:r>
              <w:rPr>
                <w:rStyle w:val="font61"/>
                <w:rFonts w:hint="default"/>
                <w:color w:val="auto"/>
                <w:lang w:bidi="ar"/>
              </w:rPr>
              <w:br/>
              <w:t>2.砂石料场及</w:t>
            </w:r>
            <w:proofErr w:type="gramStart"/>
            <w:r>
              <w:rPr>
                <w:rStyle w:val="font61"/>
                <w:rFonts w:hint="default"/>
                <w:color w:val="auto"/>
                <w:lang w:bidi="ar"/>
              </w:rPr>
              <w:t>拌和站</w:t>
            </w:r>
            <w:proofErr w:type="gramEnd"/>
            <w:r>
              <w:rPr>
                <w:rStyle w:val="font61"/>
                <w:rFonts w:hint="default"/>
                <w:color w:val="auto"/>
                <w:lang w:bidi="ar"/>
              </w:rPr>
              <w:t>场地硬化面积不符合要求，扣2分</w:t>
            </w:r>
            <w:r>
              <w:rPr>
                <w:rStyle w:val="font61"/>
                <w:rFonts w:hint="default"/>
                <w:color w:val="auto"/>
                <w:lang w:bidi="ar"/>
              </w:rPr>
              <w:br/>
              <w:t>3.未采用自动计量及强制式拌和机，扣1分</w:t>
            </w:r>
            <w:r>
              <w:rPr>
                <w:rStyle w:val="font61"/>
                <w:rFonts w:hint="default"/>
                <w:color w:val="auto"/>
                <w:lang w:bidi="ar"/>
              </w:rPr>
              <w:br/>
              <w:t>4.场地积水或排水不畅；碎石粒径不符合规范要求</w:t>
            </w:r>
            <w:proofErr w:type="gramStart"/>
            <w:r>
              <w:rPr>
                <w:rStyle w:val="font61"/>
                <w:rFonts w:hint="default"/>
                <w:color w:val="auto"/>
                <w:lang w:bidi="ar"/>
              </w:rPr>
              <w:t>或砂含泥量</w:t>
            </w:r>
            <w:proofErr w:type="gramEnd"/>
            <w:r>
              <w:rPr>
                <w:rStyle w:val="font61"/>
                <w:rFonts w:hint="default"/>
                <w:color w:val="auto"/>
                <w:lang w:bidi="ar"/>
              </w:rPr>
              <w:t>偏大；砂石</w:t>
            </w:r>
            <w:proofErr w:type="gramStart"/>
            <w:r>
              <w:rPr>
                <w:rStyle w:val="font61"/>
                <w:rFonts w:hint="default"/>
                <w:color w:val="auto"/>
                <w:lang w:bidi="ar"/>
              </w:rPr>
              <w:t>料分仓不</w:t>
            </w:r>
            <w:proofErr w:type="gramEnd"/>
            <w:r>
              <w:rPr>
                <w:rStyle w:val="font61"/>
                <w:rFonts w:hint="default"/>
                <w:color w:val="auto"/>
                <w:lang w:bidi="ar"/>
              </w:rPr>
              <w:t>到位或露天堆放；未按要求设置原材及配合比标识标牌，每项</w:t>
            </w:r>
            <w:r>
              <w:rPr>
                <w:rStyle w:val="font41"/>
                <w:rFonts w:hint="default"/>
                <w:lang w:bidi="ar"/>
              </w:rPr>
              <w:t>扣1分。</w:t>
            </w:r>
            <w:r>
              <w:rPr>
                <w:rStyle w:val="font61"/>
                <w:rFonts w:hint="default"/>
                <w:color w:val="auto"/>
                <w:lang w:bidi="ar"/>
              </w:rPr>
              <w:br/>
              <w:t>5.其他不符合</w:t>
            </w:r>
            <w:proofErr w:type="gramStart"/>
            <w:r>
              <w:rPr>
                <w:rStyle w:val="font61"/>
                <w:rFonts w:hint="default"/>
                <w:color w:val="auto"/>
                <w:lang w:bidi="ar"/>
              </w:rPr>
              <w:t>砼</w:t>
            </w:r>
            <w:proofErr w:type="gramEnd"/>
            <w:r>
              <w:rPr>
                <w:rStyle w:val="font61"/>
                <w:rFonts w:hint="default"/>
                <w:color w:val="auto"/>
                <w:lang w:bidi="ar"/>
              </w:rPr>
              <w:t>集中拌和标准化行为，每项扣</w:t>
            </w:r>
            <w:r>
              <w:rPr>
                <w:rStyle w:val="font41"/>
                <w:rFonts w:hint="default"/>
                <w:lang w:bidi="ar"/>
              </w:rPr>
              <w:t>1分，扣完为止</w:t>
            </w:r>
            <w:r>
              <w:rPr>
                <w:rStyle w:val="font61"/>
                <w:rFonts w:hint="default"/>
                <w:color w:val="auto"/>
                <w:lang w:bidi="ar"/>
              </w:rPr>
              <w:t>。</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r>
      <w:tr w:rsidR="000B0109" w:rsidTr="00557206">
        <w:trPr>
          <w:trHeight w:val="1960"/>
          <w:jc w:val="center"/>
        </w:trPr>
        <w:tc>
          <w:tcPr>
            <w:tcW w:w="4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2"/>
                <w:szCs w:val="22"/>
              </w:rPr>
            </w:pPr>
          </w:p>
        </w:tc>
        <w:tc>
          <w:tcPr>
            <w:tcW w:w="6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9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sz w:val="20"/>
                <w:szCs w:val="20"/>
              </w:rPr>
            </w:pPr>
            <w:r>
              <w:rPr>
                <w:rStyle w:val="font61"/>
                <w:rFonts w:hint="default"/>
                <w:color w:val="auto"/>
                <w:lang w:bidi="ar"/>
              </w:rPr>
              <w:t>中小构件集中预制（10分）：</w:t>
            </w:r>
            <w:r>
              <w:rPr>
                <w:rStyle w:val="font61"/>
                <w:rFonts w:hint="default"/>
                <w:color w:val="auto"/>
                <w:lang w:bidi="ar"/>
              </w:rPr>
              <w:br/>
              <w:t>1.未落实中小构件集中预制，本项不得分（外购除外）</w:t>
            </w:r>
            <w:r>
              <w:rPr>
                <w:rStyle w:val="font61"/>
                <w:rFonts w:hint="default"/>
                <w:color w:val="auto"/>
                <w:lang w:bidi="ar"/>
              </w:rPr>
              <w:br/>
              <w:t>2.预制场地硬化面积不符合要求，扣2分</w:t>
            </w:r>
            <w:r>
              <w:rPr>
                <w:rStyle w:val="font61"/>
                <w:rFonts w:hint="default"/>
                <w:color w:val="auto"/>
                <w:lang w:bidi="ar"/>
              </w:rPr>
              <w:br/>
              <w:t>3.场地积水或排水不畅；预制件养护不到位；成品外观质量差、蜂窝麻面等明显缺陷的，每项扣1分</w:t>
            </w:r>
            <w:r>
              <w:rPr>
                <w:rStyle w:val="font61"/>
                <w:rFonts w:hint="default"/>
                <w:color w:val="auto"/>
                <w:lang w:bidi="ar"/>
              </w:rPr>
              <w:br/>
              <w:t>4.其他不符合中小构件集中预制标准化行为，每项</w:t>
            </w:r>
            <w:r>
              <w:rPr>
                <w:rStyle w:val="font41"/>
                <w:rFonts w:hint="default"/>
                <w:lang w:bidi="ar"/>
              </w:rPr>
              <w:t>扣1分，扣完为止。</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r>
      <w:tr w:rsidR="000B0109" w:rsidTr="00557206">
        <w:trPr>
          <w:trHeight w:val="6405"/>
          <w:jc w:val="center"/>
        </w:trPr>
        <w:tc>
          <w:tcPr>
            <w:tcW w:w="4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2"/>
                <w:szCs w:val="22"/>
              </w:rPr>
            </w:pPr>
          </w:p>
        </w:tc>
        <w:tc>
          <w:tcPr>
            <w:tcW w:w="6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90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162" w:type="dxa"/>
            <w:tcBorders>
              <w:top w:val="single" w:sz="4" w:space="0" w:color="000000"/>
              <w:left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Style w:val="font61"/>
                <w:rFonts w:hint="default"/>
                <w:color w:val="auto"/>
                <w:lang w:bidi="ar"/>
              </w:rPr>
            </w:pPr>
            <w:r>
              <w:rPr>
                <w:rStyle w:val="font61"/>
                <w:rFonts w:hint="default"/>
                <w:color w:val="auto"/>
                <w:lang w:bidi="ar"/>
              </w:rPr>
              <w:t>数据集中</w:t>
            </w:r>
            <w:proofErr w:type="gramStart"/>
            <w:r>
              <w:rPr>
                <w:rStyle w:val="font61"/>
                <w:rFonts w:hint="default"/>
                <w:color w:val="auto"/>
                <w:lang w:bidi="ar"/>
              </w:rPr>
              <w:t>管控及驻地</w:t>
            </w:r>
            <w:proofErr w:type="gramEnd"/>
            <w:r>
              <w:rPr>
                <w:rStyle w:val="font61"/>
                <w:rFonts w:hint="default"/>
                <w:color w:val="auto"/>
                <w:lang w:bidi="ar"/>
              </w:rPr>
              <w:t>建设标准化（10分）：</w:t>
            </w:r>
            <w:r>
              <w:rPr>
                <w:rStyle w:val="font61"/>
                <w:rFonts w:hint="default"/>
                <w:color w:val="auto"/>
                <w:lang w:bidi="ar"/>
              </w:rPr>
              <w:br/>
              <w:t>1.未落实关键数据集中管控（合同价小于1亿元的标段除外），本项不得分</w:t>
            </w:r>
            <w:r>
              <w:rPr>
                <w:rStyle w:val="font61"/>
                <w:rFonts w:hint="default"/>
                <w:color w:val="auto"/>
                <w:lang w:bidi="ar"/>
              </w:rPr>
              <w:br/>
              <w:t>2.合同价2亿元以上的标段每月未采用无人机拍摄全线施工现场（因空域</w:t>
            </w:r>
            <w:proofErr w:type="gramStart"/>
            <w:r>
              <w:rPr>
                <w:rStyle w:val="font61"/>
                <w:rFonts w:hint="default"/>
                <w:color w:val="auto"/>
                <w:lang w:bidi="ar"/>
              </w:rPr>
              <w:t>管控不允许</w:t>
            </w:r>
            <w:proofErr w:type="gramEnd"/>
            <w:r>
              <w:rPr>
                <w:rStyle w:val="font61"/>
                <w:rFonts w:hint="default"/>
                <w:color w:val="auto"/>
                <w:lang w:bidi="ar"/>
              </w:rPr>
              <w:t>无人机飞行除外），本项不得分</w:t>
            </w:r>
            <w:r>
              <w:rPr>
                <w:rStyle w:val="font61"/>
                <w:rFonts w:hint="default"/>
                <w:color w:val="auto"/>
                <w:lang w:bidi="ar"/>
              </w:rPr>
              <w:br/>
              <w:t>3.预应力张</w:t>
            </w:r>
            <w:proofErr w:type="gramStart"/>
            <w:r>
              <w:rPr>
                <w:rStyle w:val="font61"/>
                <w:rFonts w:hint="default"/>
                <w:color w:val="auto"/>
                <w:lang w:bidi="ar"/>
              </w:rPr>
              <w:t>拉数据未</w:t>
            </w:r>
            <w:proofErr w:type="gramEnd"/>
            <w:r>
              <w:rPr>
                <w:rStyle w:val="font61"/>
                <w:rFonts w:hint="default"/>
                <w:color w:val="auto"/>
                <w:lang w:bidi="ar"/>
              </w:rPr>
              <w:t>集中管控，扣5分</w:t>
            </w:r>
            <w:r>
              <w:rPr>
                <w:rStyle w:val="font61"/>
                <w:rFonts w:hint="default"/>
                <w:color w:val="auto"/>
                <w:lang w:bidi="ar"/>
              </w:rPr>
              <w:br/>
              <w:t>4.合同价1亿元以上的标段，</w:t>
            </w:r>
            <w:proofErr w:type="gramStart"/>
            <w:r>
              <w:rPr>
                <w:rStyle w:val="font61"/>
                <w:rFonts w:hint="default"/>
                <w:color w:val="auto"/>
                <w:lang w:bidi="ar"/>
              </w:rPr>
              <w:t>砼</w:t>
            </w:r>
            <w:proofErr w:type="gramEnd"/>
            <w:r>
              <w:rPr>
                <w:rStyle w:val="font61"/>
                <w:rFonts w:hint="default"/>
                <w:color w:val="auto"/>
                <w:lang w:bidi="ar"/>
              </w:rPr>
              <w:t>试块、钢筋试验数据及混凝土拌合数据未集中管控，未对重要工点进行视频监控，每项</w:t>
            </w:r>
            <w:r>
              <w:rPr>
                <w:rStyle w:val="font41"/>
                <w:rFonts w:hint="default"/>
                <w:lang w:bidi="ar"/>
              </w:rPr>
              <w:t>扣1分</w:t>
            </w:r>
            <w:r>
              <w:rPr>
                <w:rStyle w:val="font61"/>
                <w:rFonts w:hint="default"/>
                <w:color w:val="auto"/>
                <w:lang w:bidi="ar"/>
              </w:rPr>
              <w:t>。</w:t>
            </w:r>
          </w:p>
          <w:p w:rsidR="000B0109" w:rsidRDefault="000B0109" w:rsidP="00557206">
            <w:pPr>
              <w:widowControl/>
              <w:spacing w:line="400" w:lineRule="exact"/>
              <w:jc w:val="left"/>
              <w:textAlignment w:val="center"/>
              <w:rPr>
                <w:rFonts w:ascii="宋体" w:hAnsi="宋体" w:cs="宋体" w:hint="eastAsia"/>
                <w:sz w:val="20"/>
                <w:szCs w:val="20"/>
              </w:rPr>
            </w:pPr>
            <w:r>
              <w:rPr>
                <w:rStyle w:val="font61"/>
                <w:rFonts w:hint="default"/>
                <w:color w:val="auto"/>
                <w:lang w:bidi="ar"/>
              </w:rPr>
              <w:t>5.项目驻地选址不符合标准化设置要求的，或未按标准化要求设置各办公室、会议室的，扣5分； 驻地办公、生活区未分开设置扣2分；驻地环境脏、乱、差，扣3分</w:t>
            </w:r>
            <w:r>
              <w:rPr>
                <w:rStyle w:val="font61"/>
                <w:rFonts w:hint="default"/>
                <w:color w:val="auto"/>
                <w:lang w:bidi="ar"/>
              </w:rPr>
              <w:br/>
              <w:t>6.进度、组织机构、人员职责、安全质量保证体系、晴雨表等图表未上墙；施工路口未设置工程简介牌、安全标示标牌；施工计划管理制度、工程技术管理制度、工程质量管理制度、施工安全管理制度、文明环保施工管理制度、试验检测管理制度等管理制度未上墙，每项扣</w:t>
            </w:r>
            <w:r>
              <w:rPr>
                <w:rStyle w:val="font41"/>
                <w:rFonts w:hint="default"/>
                <w:lang w:bidi="ar"/>
              </w:rPr>
              <w:t>1分</w:t>
            </w:r>
            <w:r>
              <w:rPr>
                <w:rStyle w:val="font61"/>
                <w:rFonts w:hint="default"/>
                <w:color w:val="auto"/>
                <w:lang w:bidi="ar"/>
              </w:rPr>
              <w:t>；</w:t>
            </w:r>
            <w:r>
              <w:rPr>
                <w:rStyle w:val="font61"/>
                <w:rFonts w:hint="default"/>
                <w:color w:val="auto"/>
                <w:lang w:bidi="ar"/>
              </w:rPr>
              <w:br/>
              <w:t>7、主要管理人员未挂牌上岗，扣2分。</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r>
      <w:tr w:rsidR="000B0109" w:rsidTr="00557206">
        <w:trPr>
          <w:trHeight w:val="1860"/>
          <w:jc w:val="center"/>
        </w:trPr>
        <w:tc>
          <w:tcPr>
            <w:tcW w:w="475" w:type="dxa"/>
            <w:vMerge w:val="restart"/>
            <w:tcBorders>
              <w:top w:val="single" w:sz="4" w:space="0" w:color="000000"/>
              <w:left w:val="single" w:sz="12" w:space="0" w:color="000000"/>
              <w:bottom w:val="single" w:sz="12"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4</w:t>
            </w:r>
          </w:p>
        </w:tc>
        <w:tc>
          <w:tcPr>
            <w:tcW w:w="6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施工及安全文明生产标准化（45分）</w:t>
            </w:r>
          </w:p>
        </w:tc>
        <w:tc>
          <w:tcPr>
            <w:tcW w:w="90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总体要求（25分）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Style w:val="font61"/>
                <w:rFonts w:hint="default"/>
                <w:color w:val="auto"/>
                <w:lang w:bidi="ar"/>
              </w:rPr>
            </w:pPr>
            <w:r>
              <w:rPr>
                <w:rStyle w:val="font01"/>
                <w:rFonts w:hint="default"/>
                <w:lang w:bidi="ar"/>
              </w:rPr>
              <w:t>质量安全总体可控，未发生质量或安全责任事故，得基本分25分</w:t>
            </w:r>
            <w:r>
              <w:rPr>
                <w:rStyle w:val="font61"/>
                <w:rFonts w:hint="default"/>
                <w:color w:val="auto"/>
                <w:lang w:bidi="ar"/>
              </w:rPr>
              <w:t>。若存在以下情况的：</w:t>
            </w:r>
            <w:r>
              <w:rPr>
                <w:rStyle w:val="font61"/>
                <w:rFonts w:hint="default"/>
                <w:color w:val="auto"/>
                <w:lang w:bidi="ar"/>
              </w:rPr>
              <w:br/>
              <w:t>（1）停工待检，扣3分。</w:t>
            </w:r>
            <w:r>
              <w:rPr>
                <w:rStyle w:val="font61"/>
                <w:rFonts w:hint="default"/>
                <w:color w:val="auto"/>
                <w:lang w:bidi="ar"/>
              </w:rPr>
              <w:br/>
              <w:t>（2）对省级通知、通报的问题拒不整改或屡通报不改，每次扣3分。</w:t>
            </w:r>
            <w:r>
              <w:rPr>
                <w:rStyle w:val="font61"/>
                <w:rFonts w:hint="default"/>
                <w:color w:val="auto"/>
                <w:lang w:bidi="ar"/>
              </w:rPr>
              <w:br/>
              <w:t>（3）被省级组织质量检测抽检通报批评的，每次扣3分。</w:t>
            </w:r>
            <w:r>
              <w:rPr>
                <w:rStyle w:val="font61"/>
                <w:rFonts w:hint="default"/>
                <w:color w:val="auto"/>
                <w:lang w:bidi="ar"/>
              </w:rPr>
              <w:br/>
              <w:t>（4）发现使用禁止类淘汰施工工艺的，每项次扣3分，违规使用限制类淘汰工艺的，每项次扣2分。</w:t>
            </w:r>
          </w:p>
          <w:p w:rsidR="000B0109" w:rsidRDefault="000B0109" w:rsidP="00557206">
            <w:pPr>
              <w:widowControl/>
              <w:spacing w:line="400" w:lineRule="exact"/>
              <w:jc w:val="left"/>
              <w:textAlignment w:val="center"/>
              <w:rPr>
                <w:rStyle w:val="font61"/>
                <w:color w:val="auto"/>
                <w:lang w:bidi="ar"/>
              </w:rPr>
            </w:pPr>
            <w:r>
              <w:rPr>
                <w:rStyle w:val="font61"/>
                <w:color w:val="auto"/>
                <w:lang w:bidi="ar"/>
              </w:rPr>
              <w:t>（5）施工现场脏乱差，道路泥泞、积水严重，安全文明施工措施不落实的，扣5分。</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r>
      <w:tr w:rsidR="000B0109" w:rsidTr="00557206">
        <w:trPr>
          <w:trHeight w:val="2500"/>
          <w:jc w:val="center"/>
        </w:trPr>
        <w:tc>
          <w:tcPr>
            <w:tcW w:w="475" w:type="dxa"/>
            <w:vMerge/>
            <w:tcBorders>
              <w:top w:val="single" w:sz="4" w:space="0" w:color="000000"/>
              <w:left w:val="single" w:sz="12" w:space="0" w:color="000000"/>
              <w:bottom w:val="single" w:sz="12"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9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Style w:val="font61"/>
                <w:rFonts w:hint="default"/>
                <w:color w:val="auto"/>
                <w:lang w:bidi="ar"/>
              </w:rPr>
              <w:t>质量安全实效（满分20分）</w:t>
            </w:r>
            <w:r>
              <w:rPr>
                <w:rStyle w:val="font61"/>
                <w:rFonts w:hint="default"/>
                <w:color w:val="auto"/>
                <w:lang w:bidi="ar"/>
              </w:rPr>
              <w:br/>
              <w:t>分路基、路面、桥梁、隧道等四大</w:t>
            </w:r>
            <w:r>
              <w:rPr>
                <w:rStyle w:val="font61"/>
                <w:rFonts w:hint="default"/>
                <w:color w:val="auto"/>
                <w:lang w:bidi="ar"/>
              </w:rPr>
              <w:lastRenderedPageBreak/>
              <w:t>类，</w:t>
            </w:r>
            <w:r>
              <w:rPr>
                <w:rStyle w:val="font61"/>
                <w:rFonts w:hint="default"/>
                <w:b/>
                <w:bCs/>
                <w:color w:val="auto"/>
                <w:lang w:bidi="ar"/>
              </w:rPr>
              <w:t>各分项满分均为20分，</w:t>
            </w:r>
            <w:r>
              <w:rPr>
                <w:rStyle w:val="font01"/>
                <w:rFonts w:hint="default"/>
                <w:lang w:bidi="ar"/>
              </w:rPr>
              <w:t>最后取所检查项得分算术平均分</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sz w:val="20"/>
                <w:szCs w:val="20"/>
              </w:rPr>
            </w:pPr>
            <w:r>
              <w:rPr>
                <w:rFonts w:ascii="宋体" w:hAnsi="宋体" w:cs="宋体" w:hint="eastAsia"/>
                <w:kern w:val="0"/>
                <w:sz w:val="20"/>
                <w:szCs w:val="20"/>
                <w:lang w:bidi="ar"/>
              </w:rPr>
              <w:lastRenderedPageBreak/>
              <w:t>路基工程（20分）：</w:t>
            </w:r>
            <w:r>
              <w:rPr>
                <w:rFonts w:ascii="宋体" w:hAnsi="宋体" w:cs="宋体" w:hint="eastAsia"/>
                <w:kern w:val="0"/>
                <w:sz w:val="20"/>
                <w:szCs w:val="20"/>
                <w:lang w:bidi="ar"/>
              </w:rPr>
              <w:br/>
              <w:t>1、</w:t>
            </w:r>
            <w:proofErr w:type="gramStart"/>
            <w:r>
              <w:rPr>
                <w:rFonts w:ascii="宋体" w:hAnsi="宋体" w:cs="宋体" w:hint="eastAsia"/>
                <w:kern w:val="0"/>
                <w:sz w:val="20"/>
                <w:szCs w:val="20"/>
                <w:lang w:bidi="ar"/>
              </w:rPr>
              <w:t>对挡墙</w:t>
            </w:r>
            <w:proofErr w:type="gramEnd"/>
            <w:r>
              <w:rPr>
                <w:rFonts w:ascii="宋体" w:hAnsi="宋体" w:cs="宋体" w:hint="eastAsia"/>
                <w:kern w:val="0"/>
                <w:sz w:val="20"/>
                <w:szCs w:val="20"/>
                <w:lang w:bidi="ar"/>
              </w:rPr>
              <w:t>、涵洞、护栏混凝土结构</w:t>
            </w:r>
            <w:proofErr w:type="gramStart"/>
            <w:r>
              <w:rPr>
                <w:rFonts w:ascii="宋体" w:hAnsi="宋体" w:cs="宋体" w:hint="eastAsia"/>
                <w:kern w:val="0"/>
                <w:sz w:val="20"/>
                <w:szCs w:val="20"/>
                <w:lang w:bidi="ar"/>
              </w:rPr>
              <w:t>物施工</w:t>
            </w:r>
            <w:proofErr w:type="gramEnd"/>
            <w:r>
              <w:rPr>
                <w:rFonts w:ascii="宋体" w:hAnsi="宋体" w:cs="宋体" w:hint="eastAsia"/>
                <w:kern w:val="0"/>
                <w:sz w:val="20"/>
                <w:szCs w:val="20"/>
                <w:lang w:bidi="ar"/>
              </w:rPr>
              <w:t>未采用钢模板，扣3分。</w:t>
            </w:r>
            <w:r>
              <w:rPr>
                <w:rFonts w:ascii="宋体" w:hAnsi="宋体" w:cs="宋体" w:hint="eastAsia"/>
                <w:kern w:val="0"/>
                <w:sz w:val="20"/>
                <w:szCs w:val="20"/>
                <w:lang w:bidi="ar"/>
              </w:rPr>
              <w:br/>
              <w:t>2、路基未采用平地机整平,路基</w:t>
            </w:r>
            <w:proofErr w:type="gramStart"/>
            <w:r>
              <w:rPr>
                <w:rFonts w:ascii="宋体" w:hAnsi="宋体" w:cs="宋体" w:hint="eastAsia"/>
                <w:kern w:val="0"/>
                <w:sz w:val="20"/>
                <w:szCs w:val="20"/>
                <w:lang w:bidi="ar"/>
              </w:rPr>
              <w:t>填筑未</w:t>
            </w:r>
            <w:proofErr w:type="gramEnd"/>
            <w:r>
              <w:rPr>
                <w:rFonts w:ascii="宋体" w:hAnsi="宋体" w:cs="宋体" w:hint="eastAsia"/>
                <w:kern w:val="0"/>
                <w:sz w:val="20"/>
                <w:szCs w:val="20"/>
                <w:lang w:bidi="ar"/>
              </w:rPr>
              <w:t>按要求设置台阶的,</w:t>
            </w:r>
            <w:proofErr w:type="gramStart"/>
            <w:r>
              <w:rPr>
                <w:rFonts w:ascii="宋体" w:hAnsi="宋体" w:cs="宋体" w:hint="eastAsia"/>
                <w:kern w:val="0"/>
                <w:sz w:val="20"/>
                <w:szCs w:val="20"/>
                <w:lang w:bidi="ar"/>
              </w:rPr>
              <w:t>三背回填</w:t>
            </w:r>
            <w:proofErr w:type="gramEnd"/>
            <w:r>
              <w:rPr>
                <w:rFonts w:ascii="宋体" w:hAnsi="宋体" w:cs="宋体" w:hint="eastAsia"/>
                <w:kern w:val="0"/>
                <w:sz w:val="20"/>
                <w:szCs w:val="20"/>
                <w:lang w:bidi="ar"/>
              </w:rPr>
              <w:t>未采用透水性材料,路基分层厚度、平整度、路拱度、路基填料不符合要求，每项扣2分；</w:t>
            </w:r>
            <w:r>
              <w:rPr>
                <w:rFonts w:ascii="宋体" w:hAnsi="宋体" w:cs="宋体" w:hint="eastAsia"/>
                <w:kern w:val="0"/>
                <w:sz w:val="20"/>
                <w:szCs w:val="20"/>
                <w:lang w:bidi="ar"/>
              </w:rPr>
              <w:br/>
              <w:t>3、无临时排水措施；混凝土挡墙</w:t>
            </w:r>
            <w:proofErr w:type="gramStart"/>
            <w:r>
              <w:rPr>
                <w:rFonts w:ascii="宋体" w:hAnsi="宋体" w:cs="宋体" w:hint="eastAsia"/>
                <w:kern w:val="0"/>
                <w:sz w:val="20"/>
                <w:szCs w:val="20"/>
                <w:lang w:bidi="ar"/>
              </w:rPr>
              <w:t>表面跑模错台</w:t>
            </w:r>
            <w:proofErr w:type="gramEnd"/>
            <w:r>
              <w:rPr>
                <w:rFonts w:ascii="宋体" w:hAnsi="宋体" w:cs="宋体" w:hint="eastAsia"/>
                <w:kern w:val="0"/>
                <w:sz w:val="20"/>
                <w:szCs w:val="20"/>
                <w:lang w:bidi="ar"/>
              </w:rPr>
              <w:t>、蜂窝麻面、未按设计规定设置泄水孔、沉降缝；片石</w:t>
            </w:r>
            <w:proofErr w:type="gramStart"/>
            <w:r>
              <w:rPr>
                <w:rFonts w:ascii="宋体" w:hAnsi="宋体" w:cs="宋体" w:hint="eastAsia"/>
                <w:kern w:val="0"/>
                <w:sz w:val="20"/>
                <w:szCs w:val="20"/>
                <w:lang w:bidi="ar"/>
              </w:rPr>
              <w:t>砼</w:t>
            </w:r>
            <w:proofErr w:type="gramEnd"/>
            <w:r>
              <w:rPr>
                <w:rFonts w:ascii="宋体" w:hAnsi="宋体" w:cs="宋体" w:hint="eastAsia"/>
                <w:kern w:val="0"/>
                <w:sz w:val="20"/>
                <w:szCs w:val="20"/>
                <w:lang w:bidi="ar"/>
              </w:rPr>
              <w:t>片石含量或尺寸不符合要求、浆砌片（块）</w:t>
            </w:r>
            <w:proofErr w:type="gramStart"/>
            <w:r>
              <w:rPr>
                <w:rFonts w:ascii="宋体" w:hAnsi="宋体" w:cs="宋体" w:hint="eastAsia"/>
                <w:kern w:val="0"/>
                <w:sz w:val="20"/>
                <w:szCs w:val="20"/>
                <w:lang w:bidi="ar"/>
              </w:rPr>
              <w:t>石挡墙</w:t>
            </w:r>
            <w:proofErr w:type="gramEnd"/>
            <w:r>
              <w:rPr>
                <w:rFonts w:ascii="宋体" w:hAnsi="宋体" w:cs="宋体" w:hint="eastAsia"/>
                <w:kern w:val="0"/>
                <w:sz w:val="20"/>
                <w:szCs w:val="20"/>
                <w:lang w:bidi="ar"/>
              </w:rPr>
              <w:t>或护坡砂浆不饱满、边坡防护、路基排水、混凝土防</w:t>
            </w:r>
            <w:r>
              <w:rPr>
                <w:rFonts w:ascii="宋体" w:hAnsi="宋体" w:cs="宋体" w:hint="eastAsia"/>
                <w:kern w:val="0"/>
                <w:sz w:val="20"/>
                <w:szCs w:val="20"/>
                <w:lang w:bidi="ar"/>
              </w:rPr>
              <w:lastRenderedPageBreak/>
              <w:t>撞护栏及波形防撞护栏等未按设计要求或施工规范要求施工，每项次扣1分；</w:t>
            </w:r>
            <w:r>
              <w:rPr>
                <w:rFonts w:ascii="宋体" w:hAnsi="宋体" w:cs="宋体" w:hint="eastAsia"/>
                <w:kern w:val="0"/>
                <w:sz w:val="20"/>
                <w:szCs w:val="20"/>
                <w:lang w:bidi="ar"/>
              </w:rPr>
              <w:br/>
              <w:t>4、路基施工未落实安全文明及生态环境保护措施，或措施落实不到位的，每项次扣1分。</w:t>
            </w:r>
          </w:p>
        </w:tc>
        <w:tc>
          <w:tcPr>
            <w:tcW w:w="1084" w:type="dxa"/>
            <w:vMerge w:val="restart"/>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sz w:val="20"/>
                <w:szCs w:val="20"/>
              </w:rPr>
            </w:pPr>
          </w:p>
        </w:tc>
      </w:tr>
      <w:tr w:rsidR="000B0109" w:rsidTr="00557206">
        <w:trPr>
          <w:trHeight w:val="2880"/>
          <w:jc w:val="center"/>
        </w:trPr>
        <w:tc>
          <w:tcPr>
            <w:tcW w:w="475" w:type="dxa"/>
            <w:vMerge/>
            <w:tcBorders>
              <w:top w:val="single" w:sz="4" w:space="0" w:color="000000"/>
              <w:left w:val="single" w:sz="12" w:space="0" w:color="000000"/>
              <w:bottom w:val="single" w:sz="12"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9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sz w:val="20"/>
                <w:szCs w:val="20"/>
              </w:rPr>
            </w:pPr>
            <w:r>
              <w:rPr>
                <w:rFonts w:ascii="宋体" w:hAnsi="宋体" w:cs="宋体" w:hint="eastAsia"/>
                <w:kern w:val="0"/>
                <w:sz w:val="20"/>
                <w:szCs w:val="20"/>
                <w:lang w:bidi="ar"/>
              </w:rPr>
              <w:t>路面工程（20分）：</w:t>
            </w:r>
            <w:r>
              <w:rPr>
                <w:rFonts w:ascii="宋体" w:hAnsi="宋体" w:cs="宋体" w:hint="eastAsia"/>
                <w:kern w:val="0"/>
                <w:sz w:val="20"/>
                <w:szCs w:val="20"/>
                <w:lang w:bidi="ar"/>
              </w:rPr>
              <w:br/>
              <w:t>1、水泥混凝土路面未采用</w:t>
            </w:r>
            <w:proofErr w:type="gramStart"/>
            <w:r>
              <w:rPr>
                <w:rFonts w:ascii="宋体" w:hAnsi="宋体" w:cs="宋体" w:hint="eastAsia"/>
                <w:kern w:val="0"/>
                <w:sz w:val="20"/>
                <w:szCs w:val="20"/>
                <w:lang w:bidi="ar"/>
              </w:rPr>
              <w:t>带排插</w:t>
            </w:r>
            <w:proofErr w:type="gramEnd"/>
            <w:r>
              <w:rPr>
                <w:rFonts w:ascii="宋体" w:hAnsi="宋体" w:cs="宋体" w:hint="eastAsia"/>
                <w:kern w:val="0"/>
                <w:sz w:val="20"/>
                <w:szCs w:val="20"/>
                <w:lang w:bidi="ar"/>
              </w:rPr>
              <w:t>的三辊轴设备，或未采用等同路面设计厚度的钢模板，或沥青混凝土路面未采用摊铺机，扣10分；若因未采用上述设备而存在严重施工质量问题的，本项不得分。</w:t>
            </w:r>
            <w:r>
              <w:rPr>
                <w:rFonts w:ascii="宋体" w:hAnsi="宋体" w:cs="宋体" w:hint="eastAsia"/>
                <w:kern w:val="0"/>
                <w:sz w:val="20"/>
                <w:szCs w:val="20"/>
                <w:lang w:bidi="ar"/>
              </w:rPr>
              <w:br/>
              <w:t>2、路面结构层厚度不足的，扣5分；未铺设200米以上试验段的，扣3分；路面结构层压实度、平整度不满足要求的，每项扣3分；路面标线材料不符合要求的，扣5分。</w:t>
            </w:r>
            <w:r>
              <w:rPr>
                <w:rFonts w:ascii="宋体" w:hAnsi="宋体" w:cs="宋体" w:hint="eastAsia"/>
                <w:kern w:val="0"/>
                <w:sz w:val="20"/>
                <w:szCs w:val="20"/>
                <w:lang w:bidi="ar"/>
              </w:rPr>
              <w:br/>
              <w:t>3、水稳层、沥青面层碾压不到位，离析或松散；水稳层、水泥面层养生不到位，或养生期内保护不到位；沥青混合料摊铺过程受污染；沥青封层、粘层、透层未按规范要求施工；水泥路面拉杆或传力杆、接缝深度、填缝料、构造深度不符合规范要求、排水设施等未按设计要求或施工规范要求施工的，每项次扣2分；</w:t>
            </w:r>
            <w:r>
              <w:rPr>
                <w:rFonts w:ascii="宋体" w:hAnsi="宋体" w:cs="宋体" w:hint="eastAsia"/>
                <w:kern w:val="0"/>
                <w:sz w:val="20"/>
                <w:szCs w:val="20"/>
                <w:lang w:bidi="ar"/>
              </w:rPr>
              <w:br/>
              <w:t>4、路面施工未落实安全文明及生态环境保护措施，或措施落实不到位的，每项次扣1分。</w:t>
            </w:r>
          </w:p>
        </w:tc>
        <w:tc>
          <w:tcPr>
            <w:tcW w:w="1084" w:type="dxa"/>
            <w:vMerge/>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sz w:val="20"/>
                <w:szCs w:val="20"/>
              </w:rPr>
            </w:pPr>
          </w:p>
        </w:tc>
      </w:tr>
      <w:tr w:rsidR="000B0109" w:rsidTr="00557206">
        <w:trPr>
          <w:trHeight w:val="840"/>
          <w:jc w:val="center"/>
        </w:trPr>
        <w:tc>
          <w:tcPr>
            <w:tcW w:w="475" w:type="dxa"/>
            <w:vMerge/>
            <w:tcBorders>
              <w:top w:val="single" w:sz="4" w:space="0" w:color="000000"/>
              <w:left w:val="single" w:sz="12" w:space="0" w:color="000000"/>
              <w:bottom w:val="single" w:sz="12"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9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sz w:val="20"/>
                <w:szCs w:val="20"/>
              </w:rPr>
            </w:pPr>
            <w:r>
              <w:rPr>
                <w:rFonts w:ascii="宋体" w:hAnsi="宋体" w:cs="宋体" w:hint="eastAsia"/>
                <w:kern w:val="0"/>
                <w:sz w:val="20"/>
                <w:szCs w:val="20"/>
                <w:lang w:bidi="ar"/>
              </w:rPr>
              <w:t>桥梁工程（20分）：</w:t>
            </w:r>
            <w:r>
              <w:rPr>
                <w:rFonts w:ascii="宋体" w:hAnsi="宋体" w:cs="宋体" w:hint="eastAsia"/>
                <w:kern w:val="0"/>
                <w:sz w:val="20"/>
                <w:szCs w:val="20"/>
                <w:lang w:bidi="ar"/>
              </w:rPr>
              <w:br/>
              <w:t>1、桥梁未按照经批准的专项施工方案施工的，本项不得分。桥台、墩柱等混凝土结构</w:t>
            </w:r>
            <w:proofErr w:type="gramStart"/>
            <w:r>
              <w:rPr>
                <w:rFonts w:ascii="宋体" w:hAnsi="宋体" w:cs="宋体" w:hint="eastAsia"/>
                <w:kern w:val="0"/>
                <w:sz w:val="20"/>
                <w:szCs w:val="20"/>
                <w:lang w:bidi="ar"/>
              </w:rPr>
              <w:t>物施工</w:t>
            </w:r>
            <w:proofErr w:type="gramEnd"/>
            <w:r>
              <w:rPr>
                <w:rFonts w:ascii="宋体" w:hAnsi="宋体" w:cs="宋体" w:hint="eastAsia"/>
                <w:kern w:val="0"/>
                <w:sz w:val="20"/>
                <w:szCs w:val="20"/>
                <w:lang w:bidi="ar"/>
              </w:rPr>
              <w:t>未采用钢模板的，扣5分。</w:t>
            </w:r>
            <w:r>
              <w:rPr>
                <w:rFonts w:ascii="宋体" w:hAnsi="宋体" w:cs="宋体" w:hint="eastAsia"/>
                <w:kern w:val="0"/>
                <w:sz w:val="20"/>
                <w:szCs w:val="20"/>
                <w:lang w:bidi="ar"/>
              </w:rPr>
              <w:br/>
              <w:t>2、结构物混凝土</w:t>
            </w:r>
            <w:proofErr w:type="gramStart"/>
            <w:r>
              <w:rPr>
                <w:rFonts w:ascii="宋体" w:hAnsi="宋体" w:cs="宋体" w:hint="eastAsia"/>
                <w:kern w:val="0"/>
                <w:sz w:val="20"/>
                <w:szCs w:val="20"/>
                <w:lang w:bidi="ar"/>
              </w:rPr>
              <w:t>表面跑模错台</w:t>
            </w:r>
            <w:proofErr w:type="gramEnd"/>
            <w:r>
              <w:rPr>
                <w:rFonts w:ascii="宋体" w:hAnsi="宋体" w:cs="宋体" w:hint="eastAsia"/>
                <w:kern w:val="0"/>
                <w:sz w:val="20"/>
                <w:szCs w:val="20"/>
                <w:lang w:bidi="ar"/>
              </w:rPr>
              <w:t>或蜂窝麻面、露筋；钢筋锈蚀严重；保护层厚度控制不严；混凝土养生不到位；桥梁钢筋未按施工设计图纸或施工规范加工或施工；桥梁满堂支架、脚手架或大型模板支撑体系不符合要求；桩</w:t>
            </w:r>
            <w:proofErr w:type="gramStart"/>
            <w:r>
              <w:rPr>
                <w:rFonts w:ascii="宋体" w:hAnsi="宋体" w:cs="宋体" w:hint="eastAsia"/>
                <w:kern w:val="0"/>
                <w:sz w:val="20"/>
                <w:szCs w:val="20"/>
                <w:lang w:bidi="ar"/>
              </w:rPr>
              <w:t>基施工钢护筒</w:t>
            </w:r>
            <w:proofErr w:type="gramEnd"/>
            <w:r>
              <w:rPr>
                <w:rFonts w:ascii="宋体" w:hAnsi="宋体" w:cs="宋体" w:hint="eastAsia"/>
                <w:kern w:val="0"/>
                <w:sz w:val="20"/>
                <w:szCs w:val="20"/>
                <w:lang w:bidi="ar"/>
              </w:rPr>
              <w:t>超出地面高度不符合要求；打桩记录不及时、不真实；现场未保留取样；泥浆不符合规范要求；打桩机机</w:t>
            </w:r>
            <w:proofErr w:type="gramStart"/>
            <w:r>
              <w:rPr>
                <w:rFonts w:ascii="宋体" w:hAnsi="宋体" w:cs="宋体" w:hint="eastAsia"/>
                <w:kern w:val="0"/>
                <w:sz w:val="20"/>
                <w:szCs w:val="20"/>
                <w:lang w:bidi="ar"/>
              </w:rPr>
              <w:t>况</w:t>
            </w:r>
            <w:proofErr w:type="gramEnd"/>
            <w:r>
              <w:rPr>
                <w:rFonts w:ascii="宋体" w:hAnsi="宋体" w:cs="宋体" w:hint="eastAsia"/>
                <w:kern w:val="0"/>
                <w:sz w:val="20"/>
                <w:szCs w:val="20"/>
                <w:lang w:bidi="ar"/>
              </w:rPr>
              <w:t>较差、固定不牢靠、油污严重；桩基施工现场脏乱差等未按设计要求或施工规范要求施工的，每项次扣2分；</w:t>
            </w:r>
            <w:r>
              <w:rPr>
                <w:rFonts w:ascii="宋体" w:hAnsi="宋体" w:cs="宋体" w:hint="eastAsia"/>
                <w:kern w:val="0"/>
                <w:sz w:val="20"/>
                <w:szCs w:val="20"/>
                <w:lang w:bidi="ar"/>
              </w:rPr>
              <w:br/>
              <w:t>3、桥梁施工未落实安全文明及生态环境保护措施，或措施落实不到位的，每项次扣1分。</w:t>
            </w:r>
          </w:p>
        </w:tc>
        <w:tc>
          <w:tcPr>
            <w:tcW w:w="1084" w:type="dxa"/>
            <w:vMerge/>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sz w:val="20"/>
                <w:szCs w:val="20"/>
              </w:rPr>
            </w:pPr>
          </w:p>
        </w:tc>
      </w:tr>
      <w:tr w:rsidR="000B0109" w:rsidTr="00557206">
        <w:trPr>
          <w:trHeight w:val="2580"/>
          <w:jc w:val="center"/>
        </w:trPr>
        <w:tc>
          <w:tcPr>
            <w:tcW w:w="475" w:type="dxa"/>
            <w:vMerge/>
            <w:tcBorders>
              <w:top w:val="single" w:sz="4" w:space="0" w:color="000000"/>
              <w:left w:val="single" w:sz="12" w:space="0" w:color="000000"/>
              <w:bottom w:val="single" w:sz="12"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9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sz w:val="20"/>
                <w:szCs w:val="20"/>
              </w:rPr>
            </w:pPr>
          </w:p>
        </w:tc>
        <w:tc>
          <w:tcPr>
            <w:tcW w:w="6162" w:type="dxa"/>
            <w:tcBorders>
              <w:top w:val="single" w:sz="4" w:space="0" w:color="000000"/>
              <w:left w:val="single" w:sz="4" w:space="0" w:color="000000"/>
              <w:bottom w:val="single" w:sz="12"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sz w:val="20"/>
                <w:szCs w:val="20"/>
              </w:rPr>
            </w:pPr>
            <w:r>
              <w:rPr>
                <w:rFonts w:ascii="宋体" w:hAnsi="宋体" w:cs="宋体" w:hint="eastAsia"/>
                <w:kern w:val="0"/>
                <w:sz w:val="20"/>
                <w:szCs w:val="20"/>
                <w:lang w:bidi="ar"/>
              </w:rPr>
              <w:t>隧道工程（20分）：</w:t>
            </w:r>
            <w:r>
              <w:rPr>
                <w:rFonts w:ascii="宋体" w:hAnsi="宋体" w:cs="宋体" w:hint="eastAsia"/>
                <w:kern w:val="0"/>
                <w:sz w:val="20"/>
                <w:szCs w:val="20"/>
                <w:lang w:bidi="ar"/>
              </w:rPr>
              <w:br/>
              <w:t>1、对隧道</w:t>
            </w:r>
            <w:proofErr w:type="gramStart"/>
            <w:r>
              <w:rPr>
                <w:rFonts w:ascii="宋体" w:hAnsi="宋体" w:cs="宋体" w:hint="eastAsia"/>
                <w:kern w:val="0"/>
                <w:sz w:val="20"/>
                <w:szCs w:val="20"/>
                <w:lang w:bidi="ar"/>
              </w:rPr>
              <w:t>二衬未</w:t>
            </w:r>
            <w:proofErr w:type="gramEnd"/>
            <w:r>
              <w:rPr>
                <w:rFonts w:ascii="宋体" w:hAnsi="宋体" w:cs="宋体" w:hint="eastAsia"/>
                <w:kern w:val="0"/>
                <w:sz w:val="20"/>
                <w:szCs w:val="20"/>
                <w:lang w:bidi="ar"/>
              </w:rPr>
              <w:t>采用整体式衬砌台车，或隧道未按照经批准的专项施工方案施工的，本项不得分。</w:t>
            </w:r>
            <w:r>
              <w:rPr>
                <w:rFonts w:ascii="宋体" w:hAnsi="宋体" w:cs="宋体" w:hint="eastAsia"/>
                <w:kern w:val="0"/>
                <w:sz w:val="20"/>
                <w:szCs w:val="20"/>
                <w:lang w:bidi="ar"/>
              </w:rPr>
              <w:br/>
              <w:t>2、支护滞后，安全步距超标；结构物混凝土</w:t>
            </w:r>
            <w:proofErr w:type="gramStart"/>
            <w:r>
              <w:rPr>
                <w:rFonts w:ascii="宋体" w:hAnsi="宋体" w:cs="宋体" w:hint="eastAsia"/>
                <w:kern w:val="0"/>
                <w:sz w:val="20"/>
                <w:szCs w:val="20"/>
                <w:lang w:bidi="ar"/>
              </w:rPr>
              <w:t>表面跑模错台</w:t>
            </w:r>
            <w:proofErr w:type="gramEnd"/>
            <w:r>
              <w:rPr>
                <w:rFonts w:ascii="宋体" w:hAnsi="宋体" w:cs="宋体" w:hint="eastAsia"/>
                <w:kern w:val="0"/>
                <w:sz w:val="20"/>
                <w:szCs w:val="20"/>
                <w:lang w:bidi="ar"/>
              </w:rPr>
              <w:t>或蜂窝麻面、露筋；超、欠挖严重，</w:t>
            </w:r>
            <w:proofErr w:type="gramStart"/>
            <w:r>
              <w:rPr>
                <w:rFonts w:ascii="宋体" w:hAnsi="宋体" w:cs="宋体" w:hint="eastAsia"/>
                <w:kern w:val="0"/>
                <w:sz w:val="20"/>
                <w:szCs w:val="20"/>
                <w:lang w:bidi="ar"/>
              </w:rPr>
              <w:t>二衬厚度</w:t>
            </w:r>
            <w:proofErr w:type="gramEnd"/>
            <w:r>
              <w:rPr>
                <w:rFonts w:ascii="宋体" w:hAnsi="宋体" w:cs="宋体" w:hint="eastAsia"/>
                <w:kern w:val="0"/>
                <w:sz w:val="20"/>
                <w:szCs w:val="20"/>
                <w:lang w:bidi="ar"/>
              </w:rPr>
              <w:t>不足、光面爆破效果差、钢筋绑扎不到位；未实施超前地质预报及监控量测等隧道未按设计要求或施工规范要求施工的，每项次扣2分；</w:t>
            </w:r>
            <w:r>
              <w:rPr>
                <w:rFonts w:ascii="宋体" w:hAnsi="宋体" w:cs="宋体" w:hint="eastAsia"/>
                <w:kern w:val="0"/>
                <w:sz w:val="20"/>
                <w:szCs w:val="20"/>
                <w:lang w:bidi="ar"/>
              </w:rPr>
              <w:br/>
              <w:t>3、隧道施工未落实安全文明及生态环境保护措施，或措施落实不到位的，每项次扣1分。</w:t>
            </w:r>
          </w:p>
        </w:tc>
        <w:tc>
          <w:tcPr>
            <w:tcW w:w="1084" w:type="dxa"/>
            <w:vMerge/>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sz w:val="20"/>
                <w:szCs w:val="20"/>
              </w:rPr>
            </w:pPr>
          </w:p>
        </w:tc>
      </w:tr>
      <w:tr w:rsidR="000B0109" w:rsidTr="00557206">
        <w:trPr>
          <w:trHeight w:val="465"/>
          <w:jc w:val="center"/>
        </w:trPr>
        <w:tc>
          <w:tcPr>
            <w:tcW w:w="475"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5</w:t>
            </w:r>
          </w:p>
        </w:tc>
        <w:tc>
          <w:tcPr>
            <w:tcW w:w="1564"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sz w:val="20"/>
                <w:szCs w:val="20"/>
              </w:rPr>
            </w:pPr>
            <w:r>
              <w:rPr>
                <w:rFonts w:ascii="宋体" w:hAnsi="宋体" w:cs="宋体" w:hint="eastAsia"/>
                <w:b/>
                <w:kern w:val="0"/>
                <w:sz w:val="20"/>
                <w:szCs w:val="20"/>
                <w:lang w:bidi="ar"/>
              </w:rPr>
              <w:t>内业管理</w:t>
            </w:r>
            <w:r>
              <w:rPr>
                <w:rFonts w:ascii="宋体" w:hAnsi="宋体" w:cs="宋体" w:hint="eastAsia"/>
                <w:b/>
                <w:kern w:val="0"/>
                <w:sz w:val="20"/>
                <w:szCs w:val="20"/>
                <w:lang w:bidi="ar"/>
              </w:rPr>
              <w:br/>
              <w:t>（15分）</w:t>
            </w:r>
          </w:p>
        </w:tc>
        <w:tc>
          <w:tcPr>
            <w:tcW w:w="61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Style w:val="font61"/>
                <w:rFonts w:hint="default"/>
                <w:color w:val="auto"/>
                <w:lang w:bidi="ar"/>
              </w:rPr>
            </w:pPr>
            <w:r>
              <w:rPr>
                <w:rStyle w:val="font61"/>
                <w:rFonts w:hint="default"/>
                <w:color w:val="auto"/>
                <w:lang w:bidi="ar"/>
              </w:rPr>
              <w:t>1、</w:t>
            </w:r>
            <w:r>
              <w:rPr>
                <w:rStyle w:val="font61"/>
                <w:color w:val="auto"/>
                <w:lang w:bidi="ar"/>
              </w:rPr>
              <w:t>未准备</w:t>
            </w:r>
            <w:proofErr w:type="gramStart"/>
            <w:r>
              <w:rPr>
                <w:rStyle w:val="font61"/>
                <w:rFonts w:hint="default"/>
                <w:color w:val="auto"/>
                <w:lang w:bidi="ar"/>
              </w:rPr>
              <w:t>项目标段</w:t>
            </w:r>
            <w:proofErr w:type="gramEnd"/>
            <w:r>
              <w:rPr>
                <w:rStyle w:val="font61"/>
                <w:rFonts w:hint="default"/>
                <w:color w:val="auto"/>
                <w:lang w:bidi="ar"/>
              </w:rPr>
              <w:t>实时进度、质量、安全、履约、标准化等情况文字</w:t>
            </w:r>
            <w:r>
              <w:rPr>
                <w:rStyle w:val="font61"/>
                <w:color w:val="auto"/>
                <w:lang w:bidi="ar"/>
              </w:rPr>
              <w:t>材料的，扣5分；材料准备不认真，内容流于形式，马虎应付的，扣3分。</w:t>
            </w:r>
          </w:p>
          <w:p w:rsidR="000B0109" w:rsidRDefault="000B0109" w:rsidP="00557206">
            <w:pPr>
              <w:widowControl/>
              <w:spacing w:line="400" w:lineRule="exact"/>
              <w:jc w:val="left"/>
              <w:textAlignment w:val="center"/>
              <w:rPr>
                <w:rStyle w:val="font61"/>
                <w:rFonts w:hint="default"/>
                <w:color w:val="auto"/>
                <w:lang w:bidi="ar"/>
              </w:rPr>
            </w:pPr>
            <w:r>
              <w:rPr>
                <w:rStyle w:val="font61"/>
                <w:rFonts w:hint="default"/>
                <w:color w:val="auto"/>
                <w:lang w:bidi="ar"/>
              </w:rPr>
              <w:t>2、将下列施工管理内业资料及时上传至内业资料平台进行评分</w:t>
            </w:r>
            <w:r>
              <w:rPr>
                <w:rStyle w:val="font61"/>
                <w:color w:val="auto"/>
                <w:lang w:bidi="ar"/>
              </w:rPr>
              <w:t>（或根据实际情况，组织现场内业资料考核评分）</w:t>
            </w:r>
            <w:r>
              <w:rPr>
                <w:rStyle w:val="font61"/>
                <w:rFonts w:hint="default"/>
                <w:color w:val="auto"/>
                <w:lang w:bidi="ar"/>
              </w:rPr>
              <w:t>：</w:t>
            </w:r>
            <w:r>
              <w:rPr>
                <w:rStyle w:val="font61"/>
                <w:rFonts w:hint="default"/>
                <w:color w:val="auto"/>
                <w:lang w:bidi="ar"/>
              </w:rPr>
              <w:br/>
              <w:t>（1）标准化管理资料，包括标准化实施方案、场地建设专项验收表、项目部内部标准化宣</w:t>
            </w:r>
            <w:proofErr w:type="gramStart"/>
            <w:r>
              <w:rPr>
                <w:rStyle w:val="font61"/>
                <w:rFonts w:hint="default"/>
                <w:color w:val="auto"/>
                <w:lang w:bidi="ar"/>
              </w:rPr>
              <w:t>贯学习</w:t>
            </w:r>
            <w:proofErr w:type="gramEnd"/>
            <w:r>
              <w:rPr>
                <w:rStyle w:val="font61"/>
                <w:rFonts w:hint="default"/>
                <w:color w:val="auto"/>
                <w:lang w:bidi="ar"/>
              </w:rPr>
              <w:t>记录；</w:t>
            </w:r>
            <w:r>
              <w:rPr>
                <w:rStyle w:val="font61"/>
                <w:rFonts w:hint="default"/>
                <w:color w:val="auto"/>
                <w:lang w:bidi="ar"/>
              </w:rPr>
              <w:br/>
              <w:t>（2）各分部工程首件分析资料；</w:t>
            </w:r>
            <w:r>
              <w:rPr>
                <w:rStyle w:val="font61"/>
                <w:rFonts w:hint="default"/>
                <w:color w:val="auto"/>
                <w:lang w:bidi="ar"/>
              </w:rPr>
              <w:br/>
              <w:t>（3）农民工工资管理资料；</w:t>
            </w:r>
            <w:r>
              <w:rPr>
                <w:rStyle w:val="font61"/>
                <w:rFonts w:hint="default"/>
                <w:color w:val="auto"/>
                <w:lang w:bidi="ar"/>
              </w:rPr>
              <w:br/>
              <w:t>（4）施工组织设计；</w:t>
            </w:r>
            <w:r>
              <w:rPr>
                <w:rStyle w:val="font61"/>
                <w:rFonts w:hint="default"/>
                <w:color w:val="auto"/>
                <w:lang w:bidi="ar"/>
              </w:rPr>
              <w:br/>
              <w:t>（5）各级主管部门通报整改反馈资料；</w:t>
            </w:r>
            <w:r>
              <w:rPr>
                <w:rStyle w:val="font61"/>
                <w:rFonts w:hint="default"/>
                <w:color w:val="auto"/>
                <w:lang w:bidi="ar"/>
              </w:rPr>
              <w:br/>
              <w:t>（6）安全教育、培训、技术交底、责任状资料及</w:t>
            </w:r>
            <w:proofErr w:type="gramStart"/>
            <w:r>
              <w:rPr>
                <w:rStyle w:val="font61"/>
                <w:rFonts w:hint="default"/>
                <w:color w:val="auto"/>
                <w:lang w:bidi="ar"/>
              </w:rPr>
              <w:t>动态台</w:t>
            </w:r>
            <w:proofErr w:type="gramEnd"/>
            <w:r>
              <w:rPr>
                <w:rStyle w:val="font61"/>
                <w:rFonts w:hint="default"/>
                <w:color w:val="auto"/>
                <w:lang w:bidi="ar"/>
              </w:rPr>
              <w:t>账；</w:t>
            </w:r>
            <w:r>
              <w:rPr>
                <w:rStyle w:val="font61"/>
                <w:rFonts w:hint="default"/>
                <w:color w:val="auto"/>
                <w:lang w:bidi="ar"/>
              </w:rPr>
              <w:br/>
              <w:t>（7）特种设备、特殊工种</w:t>
            </w:r>
            <w:proofErr w:type="gramStart"/>
            <w:r>
              <w:rPr>
                <w:rStyle w:val="font61"/>
                <w:rFonts w:hint="default"/>
                <w:color w:val="auto"/>
                <w:lang w:bidi="ar"/>
              </w:rPr>
              <w:t>人员台</w:t>
            </w:r>
            <w:proofErr w:type="gramEnd"/>
            <w:r>
              <w:rPr>
                <w:rStyle w:val="font61"/>
                <w:rFonts w:hint="default"/>
                <w:color w:val="auto"/>
                <w:lang w:bidi="ar"/>
              </w:rPr>
              <w:t>账；</w:t>
            </w:r>
            <w:r>
              <w:rPr>
                <w:rStyle w:val="font61"/>
                <w:rFonts w:hint="default"/>
                <w:color w:val="auto"/>
                <w:lang w:bidi="ar"/>
              </w:rPr>
              <w:br/>
              <w:t>（8）安全专项经费使用计划、计量支付资料；</w:t>
            </w:r>
            <w:r>
              <w:rPr>
                <w:rStyle w:val="font61"/>
                <w:rFonts w:hint="default"/>
                <w:color w:val="auto"/>
                <w:lang w:bidi="ar"/>
              </w:rPr>
              <w:br/>
              <w:t>（9）项目部每月安全检查资料；</w:t>
            </w:r>
            <w:r>
              <w:rPr>
                <w:rStyle w:val="font61"/>
                <w:rFonts w:hint="default"/>
                <w:color w:val="auto"/>
                <w:lang w:bidi="ar"/>
              </w:rPr>
              <w:br/>
              <w:t>（10）公司每半年一次对工地安全生产专项检查资料。</w:t>
            </w:r>
            <w:r>
              <w:rPr>
                <w:rStyle w:val="font61"/>
                <w:rFonts w:hint="default"/>
                <w:color w:val="auto"/>
                <w:lang w:bidi="ar"/>
              </w:rPr>
              <w:br/>
              <w:t>上述资料未上传，每项扣</w:t>
            </w:r>
            <w:r>
              <w:rPr>
                <w:rStyle w:val="font41"/>
                <w:rFonts w:hint="default"/>
                <w:lang w:bidi="ar"/>
              </w:rPr>
              <w:t>1分</w:t>
            </w:r>
            <w:r>
              <w:rPr>
                <w:rStyle w:val="font61"/>
                <w:rFonts w:hint="default"/>
                <w:color w:val="auto"/>
                <w:lang w:bidi="ar"/>
              </w:rPr>
              <w:t>；上</w:t>
            </w:r>
            <w:proofErr w:type="gramStart"/>
            <w:r>
              <w:rPr>
                <w:rStyle w:val="font61"/>
                <w:rFonts w:hint="default"/>
                <w:color w:val="auto"/>
                <w:lang w:bidi="ar"/>
              </w:rPr>
              <w:t>传资料</w:t>
            </w:r>
            <w:proofErr w:type="gramEnd"/>
            <w:r>
              <w:rPr>
                <w:rStyle w:val="font61"/>
                <w:rFonts w:hint="default"/>
                <w:color w:val="auto"/>
                <w:lang w:bidi="ar"/>
              </w:rPr>
              <w:t>内容不完整或流于形式，每项扣</w:t>
            </w:r>
            <w:r>
              <w:rPr>
                <w:rStyle w:val="font41"/>
                <w:rFonts w:hint="default"/>
                <w:lang w:bidi="ar"/>
              </w:rPr>
              <w:t>0.5分</w:t>
            </w:r>
            <w:r>
              <w:rPr>
                <w:rStyle w:val="font61"/>
                <w:rFonts w:hint="default"/>
                <w:color w:val="auto"/>
                <w:lang w:bidi="ar"/>
              </w:rPr>
              <w:t>。</w:t>
            </w:r>
          </w:p>
          <w:p w:rsidR="000B0109" w:rsidRDefault="000B0109" w:rsidP="00557206">
            <w:pPr>
              <w:widowControl/>
              <w:spacing w:line="400" w:lineRule="exact"/>
              <w:jc w:val="left"/>
              <w:textAlignment w:val="center"/>
              <w:rPr>
                <w:rStyle w:val="font61"/>
                <w:color w:val="auto"/>
                <w:lang w:bidi="ar"/>
              </w:rPr>
            </w:pPr>
            <w:r>
              <w:rPr>
                <w:rStyle w:val="font61"/>
                <w:rFonts w:hint="default"/>
                <w:color w:val="auto"/>
                <w:lang w:bidi="ar"/>
              </w:rPr>
              <w:t>3、按要求每月25日前上</w:t>
            </w:r>
            <w:proofErr w:type="gramStart"/>
            <w:r>
              <w:rPr>
                <w:rStyle w:val="font61"/>
                <w:rFonts w:hint="default"/>
                <w:color w:val="auto"/>
                <w:lang w:bidi="ar"/>
              </w:rPr>
              <w:t>传施工</w:t>
            </w:r>
            <w:proofErr w:type="gramEnd"/>
            <w:r>
              <w:rPr>
                <w:rStyle w:val="font61"/>
                <w:rFonts w:hint="default"/>
                <w:color w:val="auto"/>
                <w:lang w:bidi="ar"/>
              </w:rPr>
              <w:t>月报至内业资料平台，未上传的，扣1分/月；逾期上传的扣0.5分/月；上传的施工月报内容与项目实际不符，马虎应付的，扣0.3分/月。</w:t>
            </w:r>
          </w:p>
        </w:tc>
        <w:tc>
          <w:tcPr>
            <w:tcW w:w="1084"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sz w:val="20"/>
                <w:szCs w:val="20"/>
              </w:rPr>
            </w:pPr>
          </w:p>
        </w:tc>
      </w:tr>
      <w:tr w:rsidR="000B0109" w:rsidTr="00557206">
        <w:trPr>
          <w:trHeight w:val="2660"/>
          <w:jc w:val="center"/>
        </w:trPr>
        <w:tc>
          <w:tcPr>
            <w:tcW w:w="475"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lastRenderedPageBreak/>
              <w:t>6</w:t>
            </w:r>
          </w:p>
        </w:tc>
        <w:tc>
          <w:tcPr>
            <w:tcW w:w="156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sz w:val="20"/>
                <w:szCs w:val="20"/>
              </w:rPr>
            </w:pPr>
            <w:r>
              <w:rPr>
                <w:rFonts w:ascii="宋体" w:hAnsi="宋体" w:cs="宋体" w:hint="eastAsia"/>
                <w:kern w:val="0"/>
                <w:sz w:val="20"/>
                <w:szCs w:val="20"/>
                <w:lang w:bidi="ar"/>
              </w:rPr>
              <w:t>加分项</w:t>
            </w:r>
          </w:p>
        </w:tc>
        <w:tc>
          <w:tcPr>
            <w:tcW w:w="61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numPr>
                <w:ilvl w:val="0"/>
                <w:numId w:val="1"/>
              </w:numPr>
              <w:spacing w:line="400" w:lineRule="exact"/>
              <w:jc w:val="left"/>
              <w:textAlignment w:val="center"/>
              <w:rPr>
                <w:rStyle w:val="font61"/>
                <w:rFonts w:hint="default"/>
                <w:color w:val="auto"/>
                <w:lang w:bidi="ar"/>
              </w:rPr>
            </w:pPr>
            <w:r>
              <w:rPr>
                <w:rStyle w:val="font61"/>
                <w:rFonts w:hint="default"/>
                <w:color w:val="auto"/>
                <w:lang w:bidi="ar"/>
              </w:rPr>
              <w:t>承办当年度省级标准化现场会的，加1分；承办当年度省级其它各类专项现场会的，加0.5分；承办市级标准化现场会的，加0.5分；在当年度省级标准化现场会上经验交流介绍的，加0.2分；</w:t>
            </w:r>
            <w:r>
              <w:rPr>
                <w:rStyle w:val="font61"/>
                <w:rFonts w:hint="default"/>
                <w:color w:val="auto"/>
                <w:lang w:bidi="ar"/>
              </w:rPr>
              <w:br/>
              <w:t>2、被列入为部、省级品质工程、绿色公路、施工标准化、省局主推的信息化等示范项目的，</w:t>
            </w:r>
            <w:r>
              <w:rPr>
                <w:rStyle w:val="font41"/>
                <w:rFonts w:hint="default"/>
                <w:lang w:bidi="ar"/>
              </w:rPr>
              <w:t>根据实际内容，达到</w:t>
            </w:r>
            <w:r>
              <w:rPr>
                <w:rStyle w:val="font61"/>
                <w:rFonts w:hint="default"/>
                <w:color w:val="auto"/>
                <w:lang w:bidi="ar"/>
              </w:rPr>
              <w:t>部级示范加2分，省级示范加1分；</w:t>
            </w:r>
            <w:r>
              <w:rPr>
                <w:rStyle w:val="font61"/>
                <w:rFonts w:hint="default"/>
                <w:color w:val="auto"/>
                <w:highlight w:val="yellow"/>
                <w:lang w:bidi="ar"/>
              </w:rPr>
              <w:br/>
            </w:r>
            <w:r>
              <w:rPr>
                <w:rStyle w:val="font61"/>
                <w:rFonts w:hint="default"/>
                <w:color w:val="auto"/>
                <w:lang w:bidi="ar"/>
              </w:rPr>
              <w:t>3、</w:t>
            </w:r>
            <w:proofErr w:type="gramStart"/>
            <w:r>
              <w:rPr>
                <w:rStyle w:val="font61"/>
                <w:rFonts w:hint="default"/>
                <w:color w:val="auto"/>
                <w:lang w:bidi="ar"/>
              </w:rPr>
              <w:t>工地党建</w:t>
            </w:r>
            <w:proofErr w:type="gramEnd"/>
            <w:r>
              <w:rPr>
                <w:rStyle w:val="font61"/>
                <w:rFonts w:hint="default"/>
                <w:color w:val="auto"/>
                <w:lang w:bidi="ar"/>
              </w:rPr>
              <w:t>标准化达标加0.2分，优胜党支部加0.3分。</w:t>
            </w:r>
            <w:r>
              <w:rPr>
                <w:rStyle w:val="font61"/>
                <w:rFonts w:hint="default"/>
                <w:color w:val="auto"/>
                <w:lang w:bidi="ar"/>
              </w:rPr>
              <w:br/>
              <w:t>4、</w:t>
            </w:r>
            <w:proofErr w:type="gramStart"/>
            <w:r>
              <w:rPr>
                <w:rStyle w:val="font61"/>
                <w:rFonts w:hint="default"/>
                <w:color w:val="auto"/>
                <w:lang w:bidi="ar"/>
              </w:rPr>
              <w:t>较合同</w:t>
            </w:r>
            <w:proofErr w:type="gramEnd"/>
            <w:r>
              <w:rPr>
                <w:rStyle w:val="font61"/>
                <w:rFonts w:hint="default"/>
                <w:color w:val="auto"/>
                <w:lang w:bidi="ar"/>
              </w:rPr>
              <w:t>工期提前3个月以上主体完工的，加0.5分。</w:t>
            </w:r>
          </w:p>
          <w:p w:rsidR="000B0109" w:rsidRDefault="000B0109" w:rsidP="00557206">
            <w:pPr>
              <w:widowControl/>
              <w:spacing w:line="400" w:lineRule="exact"/>
              <w:jc w:val="left"/>
              <w:textAlignment w:val="center"/>
              <w:rPr>
                <w:rFonts w:ascii="宋体" w:hAnsi="宋体" w:cs="宋体" w:hint="eastAsia"/>
                <w:sz w:val="20"/>
                <w:szCs w:val="20"/>
              </w:rPr>
            </w:pPr>
            <w:r>
              <w:rPr>
                <w:rStyle w:val="font61"/>
                <w:rFonts w:hint="default"/>
                <w:color w:val="auto"/>
                <w:lang w:bidi="ar"/>
              </w:rPr>
              <w:t>5、使用经省局认可的新工艺、工法或新技术设备的，加0.3分。</w:t>
            </w:r>
            <w:r>
              <w:rPr>
                <w:rStyle w:val="font61"/>
                <w:rFonts w:hint="default"/>
                <w:color w:val="auto"/>
                <w:lang w:bidi="ar"/>
              </w:rPr>
              <w:br/>
              <w:t>（加分项评分待年底测算标段总分时，统一加分）。</w:t>
            </w:r>
          </w:p>
        </w:tc>
        <w:tc>
          <w:tcPr>
            <w:tcW w:w="1084"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sz w:val="20"/>
                <w:szCs w:val="20"/>
              </w:rPr>
            </w:pPr>
          </w:p>
        </w:tc>
      </w:tr>
    </w:tbl>
    <w:p w:rsidR="000B0109" w:rsidRDefault="000B0109" w:rsidP="000B0109">
      <w:pPr>
        <w:rPr>
          <w:rFonts w:hint="eastAsia"/>
        </w:rPr>
      </w:pPr>
      <w:r>
        <w:rPr>
          <w:rFonts w:hint="eastAsia"/>
        </w:rPr>
        <w:br w:type="page"/>
      </w:r>
    </w:p>
    <w:tbl>
      <w:tblPr>
        <w:tblW w:w="0" w:type="auto"/>
        <w:jc w:val="center"/>
        <w:tblLayout w:type="fixed"/>
        <w:tblCellMar>
          <w:left w:w="0" w:type="dxa"/>
          <w:right w:w="0" w:type="dxa"/>
        </w:tblCellMar>
        <w:tblLook w:val="0000" w:firstRow="0" w:lastRow="0" w:firstColumn="0" w:lastColumn="0" w:noHBand="0" w:noVBand="0"/>
      </w:tblPr>
      <w:tblGrid>
        <w:gridCol w:w="418"/>
        <w:gridCol w:w="764"/>
        <w:gridCol w:w="933"/>
        <w:gridCol w:w="5612"/>
        <w:gridCol w:w="1147"/>
      </w:tblGrid>
      <w:tr w:rsidR="000B0109" w:rsidTr="00557206">
        <w:trPr>
          <w:trHeight w:val="559"/>
          <w:jc w:val="center"/>
        </w:trPr>
        <w:tc>
          <w:tcPr>
            <w:tcW w:w="8874" w:type="dxa"/>
            <w:gridSpan w:val="5"/>
            <w:tcBorders>
              <w:top w:val="nil"/>
              <w:left w:val="nil"/>
              <w:bottom w:val="nil"/>
              <w:right w:val="nil"/>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lang w:bidi="ar"/>
              </w:rPr>
              <w:lastRenderedPageBreak/>
              <w:t>福建省普通国省干线公路建设项目信用考核评分标准（监理单位）</w:t>
            </w:r>
          </w:p>
        </w:tc>
      </w:tr>
      <w:tr w:rsidR="000B0109" w:rsidTr="00557206">
        <w:trPr>
          <w:trHeight w:val="679"/>
          <w:jc w:val="center"/>
        </w:trPr>
        <w:tc>
          <w:tcPr>
            <w:tcW w:w="418" w:type="dxa"/>
            <w:tcBorders>
              <w:top w:val="single" w:sz="12"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序号</w:t>
            </w:r>
          </w:p>
        </w:tc>
        <w:tc>
          <w:tcPr>
            <w:tcW w:w="1697" w:type="dxa"/>
            <w:gridSpan w:val="2"/>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考评项目</w:t>
            </w:r>
          </w:p>
        </w:tc>
        <w:tc>
          <w:tcPr>
            <w:tcW w:w="5612" w:type="dxa"/>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考评标准</w:t>
            </w:r>
          </w:p>
        </w:tc>
        <w:tc>
          <w:tcPr>
            <w:tcW w:w="1147" w:type="dxa"/>
            <w:tcBorders>
              <w:top w:val="single" w:sz="12"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扣分或加分</w:t>
            </w:r>
          </w:p>
        </w:tc>
      </w:tr>
      <w:tr w:rsidR="000B0109" w:rsidTr="00557206">
        <w:trPr>
          <w:trHeight w:val="2040"/>
          <w:jc w:val="center"/>
        </w:trPr>
        <w:tc>
          <w:tcPr>
            <w:tcW w:w="418" w:type="dxa"/>
            <w:vMerge w:val="restart"/>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7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人员履职（15分）</w:t>
            </w:r>
          </w:p>
        </w:tc>
        <w:tc>
          <w:tcPr>
            <w:tcW w:w="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人员到岗（5分）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主要管理人员应到岗履职，相关人员的资历、数量应与投标承诺相一致，若需更换，必须报业主批准：</w:t>
            </w:r>
            <w:r>
              <w:rPr>
                <w:rFonts w:ascii="宋体" w:hAnsi="宋体" w:cs="宋体" w:hint="eastAsia"/>
                <w:color w:val="000000"/>
                <w:kern w:val="0"/>
                <w:sz w:val="20"/>
                <w:szCs w:val="20"/>
                <w:lang w:bidi="ar"/>
              </w:rPr>
              <w:br/>
              <w:t>1、更换人员资格条件低于投标文件承诺的，或未经业主批准更换，总监、试验室主任每人次扣3分，其他人员每人次扣1分；</w:t>
            </w:r>
            <w:r>
              <w:rPr>
                <w:rFonts w:ascii="宋体" w:hAnsi="宋体" w:cs="宋体" w:hint="eastAsia"/>
                <w:color w:val="000000"/>
                <w:kern w:val="0"/>
                <w:sz w:val="20"/>
                <w:szCs w:val="20"/>
                <w:lang w:bidi="ar"/>
              </w:rPr>
              <w:br/>
              <w:t>2、总监未到岗履职，每次扣2分（现场提供业主批复同意请假的除外）；</w:t>
            </w:r>
            <w:r>
              <w:rPr>
                <w:rFonts w:ascii="宋体" w:hAnsi="宋体" w:cs="宋体" w:hint="eastAsia"/>
                <w:color w:val="000000"/>
                <w:kern w:val="0"/>
                <w:sz w:val="20"/>
                <w:szCs w:val="20"/>
                <w:lang w:bidi="ar"/>
              </w:rPr>
              <w:br/>
              <w:t>3、专业监理工程师进场人数少于投标承诺的（专业工程师按照施工阶段进场），每人次扣1分。</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840"/>
          <w:jc w:val="center"/>
        </w:trPr>
        <w:tc>
          <w:tcPr>
            <w:tcW w:w="418" w:type="dxa"/>
            <w:vMerge/>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7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履职实效（10分）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履职实效=10*[除人员履职及进度管理考核项外的总得分]/80</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2239"/>
          <w:jc w:val="center"/>
        </w:trPr>
        <w:tc>
          <w:tcPr>
            <w:tcW w:w="418"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16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进度管理</w:t>
            </w:r>
            <w:r>
              <w:rPr>
                <w:rFonts w:ascii="宋体" w:hAnsi="宋体" w:cs="宋体" w:hint="eastAsia"/>
                <w:color w:val="000000"/>
                <w:kern w:val="0"/>
                <w:sz w:val="20"/>
                <w:szCs w:val="20"/>
                <w:lang w:bidi="ar"/>
              </w:rPr>
              <w:br/>
              <w:t>（5分）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及时审批施工单位总体进度计划、年度及月度计划，对进度滞后原因进行分析并提出整改措施：</w:t>
            </w:r>
            <w:r>
              <w:rPr>
                <w:rFonts w:ascii="宋体" w:hAnsi="宋体" w:cs="宋体" w:hint="eastAsia"/>
                <w:color w:val="000000"/>
                <w:kern w:val="0"/>
                <w:sz w:val="20"/>
                <w:szCs w:val="20"/>
                <w:lang w:bidi="ar"/>
              </w:rPr>
              <w:br/>
              <w:t>1、未及时审批施工单位总体进度计划、年度及月度进度计划，总体进度计划、年度计划每项扣2分，月进度计划每次扣1分。</w:t>
            </w:r>
            <w:r>
              <w:rPr>
                <w:rFonts w:ascii="宋体" w:hAnsi="宋体" w:cs="宋体" w:hint="eastAsia"/>
                <w:color w:val="000000"/>
                <w:kern w:val="0"/>
                <w:sz w:val="20"/>
                <w:szCs w:val="20"/>
                <w:lang w:bidi="ar"/>
              </w:rPr>
              <w:br/>
              <w:t>2、对进度计划审批把关不严，流于形式，扣0.5分。</w:t>
            </w:r>
            <w:r>
              <w:rPr>
                <w:rFonts w:ascii="宋体" w:hAnsi="宋体" w:cs="宋体" w:hint="eastAsia"/>
                <w:color w:val="000000"/>
                <w:kern w:val="0"/>
                <w:sz w:val="20"/>
                <w:szCs w:val="20"/>
                <w:lang w:bidi="ar"/>
              </w:rPr>
              <w:br/>
              <w:t>3、未对进度滞后原因进行分析并督促施工单位采取相应措施，</w:t>
            </w:r>
            <w:proofErr w:type="gramStart"/>
            <w:r>
              <w:rPr>
                <w:rFonts w:ascii="宋体" w:hAnsi="宋体" w:cs="宋体" w:hint="eastAsia"/>
                <w:color w:val="000000"/>
                <w:kern w:val="0"/>
                <w:sz w:val="20"/>
                <w:szCs w:val="20"/>
                <w:lang w:bidi="ar"/>
              </w:rPr>
              <w:t>未分析扣</w:t>
            </w:r>
            <w:proofErr w:type="gramEnd"/>
            <w:r>
              <w:rPr>
                <w:rFonts w:ascii="宋体" w:hAnsi="宋体" w:cs="宋体" w:hint="eastAsia"/>
                <w:color w:val="000000"/>
                <w:kern w:val="0"/>
                <w:sz w:val="20"/>
                <w:szCs w:val="20"/>
                <w:lang w:bidi="ar"/>
              </w:rPr>
              <w:t>2分，分析不到位扣1分；未督促扣2分，督促不到位扣1分。</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color w:val="000000"/>
                <w:sz w:val="20"/>
                <w:szCs w:val="20"/>
              </w:rPr>
            </w:pPr>
          </w:p>
        </w:tc>
      </w:tr>
      <w:tr w:rsidR="000B0109" w:rsidTr="00557206">
        <w:trPr>
          <w:trHeight w:val="1890"/>
          <w:jc w:val="center"/>
        </w:trPr>
        <w:tc>
          <w:tcPr>
            <w:tcW w:w="418"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16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质量安全管理</w:t>
            </w:r>
            <w:r>
              <w:rPr>
                <w:rFonts w:ascii="宋体" w:hAnsi="宋体" w:cs="宋体" w:hint="eastAsia"/>
                <w:color w:val="000000"/>
                <w:kern w:val="0"/>
                <w:sz w:val="20"/>
                <w:szCs w:val="20"/>
                <w:lang w:bidi="ar"/>
              </w:rPr>
              <w:br/>
              <w:t>（10分）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按规定开展监理工作，及时发现施工过程中存在的质量安全问题并督促整改反馈：</w:t>
            </w:r>
            <w:r>
              <w:rPr>
                <w:rFonts w:ascii="宋体" w:hAnsi="宋体" w:cs="宋体" w:hint="eastAsia"/>
                <w:color w:val="000000"/>
                <w:kern w:val="0"/>
                <w:sz w:val="20"/>
                <w:szCs w:val="20"/>
                <w:lang w:bidi="ar"/>
              </w:rPr>
              <w:br/>
              <w:t>1、对上级通知、通报的问题拒不整改</w:t>
            </w:r>
            <w:proofErr w:type="gramStart"/>
            <w:r>
              <w:rPr>
                <w:rFonts w:ascii="宋体" w:hAnsi="宋体" w:cs="宋体" w:hint="eastAsia"/>
                <w:color w:val="000000"/>
                <w:kern w:val="0"/>
                <w:sz w:val="20"/>
                <w:szCs w:val="20"/>
                <w:lang w:bidi="ar"/>
              </w:rPr>
              <w:t>或屡报不改</w:t>
            </w:r>
            <w:proofErr w:type="gramEnd"/>
            <w:r>
              <w:rPr>
                <w:rFonts w:ascii="宋体" w:hAnsi="宋体" w:cs="宋体" w:hint="eastAsia"/>
                <w:color w:val="000000"/>
                <w:kern w:val="0"/>
                <w:sz w:val="20"/>
                <w:szCs w:val="20"/>
                <w:lang w:bidi="ar"/>
              </w:rPr>
              <w:t>、整改造假，每次扣5分；</w:t>
            </w:r>
            <w:r>
              <w:rPr>
                <w:rFonts w:ascii="宋体" w:hAnsi="宋体" w:cs="宋体" w:hint="eastAsia"/>
                <w:color w:val="000000"/>
                <w:kern w:val="0"/>
                <w:sz w:val="20"/>
                <w:szCs w:val="20"/>
                <w:lang w:bidi="ar"/>
              </w:rPr>
              <w:br/>
              <w:t>2、对项目安全生产管理不到位，存在安全隐患无应对措施，未督促整改的，扣5分。</w:t>
            </w:r>
            <w:r>
              <w:rPr>
                <w:rFonts w:ascii="宋体" w:hAnsi="宋体" w:cs="宋体" w:hint="eastAsia"/>
                <w:color w:val="000000"/>
                <w:kern w:val="0"/>
                <w:sz w:val="20"/>
                <w:szCs w:val="20"/>
                <w:lang w:bidi="ar"/>
              </w:rPr>
              <w:br/>
              <w:t>3、对施工单位存在偷工减料、关键工序未按施工图或施工规范要求施工、对工序把关不严等行为无应对措施，未督促整改的，每项次扣2分；</w:t>
            </w:r>
            <w:r>
              <w:rPr>
                <w:rFonts w:ascii="宋体" w:hAnsi="宋体" w:cs="宋体" w:hint="eastAsia"/>
                <w:color w:val="000000"/>
                <w:kern w:val="0"/>
                <w:sz w:val="20"/>
                <w:szCs w:val="20"/>
                <w:lang w:bidi="ar"/>
              </w:rPr>
              <w:br/>
              <w:t>4、对施工单位标准化实施方案把关不严的，扣2分；</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5、对施工单位首件分析督促落实不到位，扣2分；</w:t>
            </w:r>
            <w:r>
              <w:rPr>
                <w:rFonts w:ascii="宋体" w:hAnsi="宋体" w:cs="宋体" w:hint="eastAsia"/>
                <w:color w:val="000000"/>
                <w:kern w:val="0"/>
                <w:sz w:val="20"/>
                <w:szCs w:val="20"/>
                <w:lang w:bidi="ar"/>
              </w:rPr>
              <w:br/>
              <w:t>6、未按要求落实监理旁站、巡视制度，扣3分；</w:t>
            </w:r>
            <w:r>
              <w:rPr>
                <w:rFonts w:ascii="宋体" w:hAnsi="宋体" w:cs="宋体" w:hint="eastAsia"/>
                <w:color w:val="000000"/>
                <w:kern w:val="0"/>
                <w:sz w:val="20"/>
                <w:szCs w:val="20"/>
                <w:lang w:bidi="ar"/>
              </w:rPr>
              <w:br/>
              <w:t>7、未按要求记录监理日志，扣2分。</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color w:val="000000"/>
                <w:sz w:val="20"/>
                <w:szCs w:val="20"/>
              </w:rPr>
            </w:pPr>
          </w:p>
        </w:tc>
      </w:tr>
      <w:tr w:rsidR="000B0109" w:rsidTr="00557206">
        <w:trPr>
          <w:trHeight w:val="1560"/>
          <w:jc w:val="center"/>
        </w:trPr>
        <w:tc>
          <w:tcPr>
            <w:tcW w:w="418" w:type="dxa"/>
            <w:vMerge w:val="restart"/>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76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场地建设</w:t>
            </w:r>
            <w:r>
              <w:rPr>
                <w:rFonts w:ascii="宋体" w:hAnsi="宋体" w:cs="宋体" w:hint="eastAsia"/>
                <w:color w:val="000000"/>
                <w:kern w:val="0"/>
                <w:sz w:val="20"/>
                <w:szCs w:val="20"/>
                <w:lang w:bidi="ar"/>
              </w:rPr>
              <w:br/>
              <w:t>（5分）</w:t>
            </w:r>
          </w:p>
        </w:tc>
        <w:tc>
          <w:tcPr>
            <w:tcW w:w="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驻地建设（2分）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监理驻地与施工</w:t>
            </w:r>
            <w:proofErr w:type="gramStart"/>
            <w:r>
              <w:rPr>
                <w:rFonts w:ascii="宋体" w:hAnsi="宋体" w:cs="宋体" w:hint="eastAsia"/>
                <w:color w:val="000000"/>
                <w:kern w:val="0"/>
                <w:sz w:val="20"/>
                <w:szCs w:val="20"/>
                <w:lang w:bidi="ar"/>
              </w:rPr>
              <w:t>项目部须分开</w:t>
            </w:r>
            <w:proofErr w:type="gramEnd"/>
            <w:r>
              <w:rPr>
                <w:rFonts w:ascii="宋体" w:hAnsi="宋体" w:cs="宋体" w:hint="eastAsia"/>
                <w:color w:val="000000"/>
                <w:kern w:val="0"/>
                <w:sz w:val="20"/>
                <w:szCs w:val="20"/>
                <w:lang w:bidi="ar"/>
              </w:rPr>
              <w:t>设置，满足办公、生活需要，上墙图表完整：</w:t>
            </w:r>
            <w:r>
              <w:rPr>
                <w:rFonts w:ascii="宋体" w:hAnsi="宋体" w:cs="宋体" w:hint="eastAsia"/>
                <w:color w:val="000000"/>
                <w:kern w:val="0"/>
                <w:sz w:val="20"/>
                <w:szCs w:val="20"/>
                <w:lang w:bidi="ar"/>
              </w:rPr>
              <w:br/>
              <w:t>1、驻地与施工单位驻地未分开设置，本项不得分；</w:t>
            </w:r>
            <w:r>
              <w:rPr>
                <w:rFonts w:ascii="宋体" w:hAnsi="宋体" w:cs="宋体" w:hint="eastAsia"/>
                <w:color w:val="000000"/>
                <w:kern w:val="0"/>
                <w:sz w:val="20"/>
                <w:szCs w:val="20"/>
                <w:lang w:bidi="ar"/>
              </w:rPr>
              <w:br/>
              <w:t>2、总监办驻地不满足办公、生活需要，扣1分；</w:t>
            </w:r>
            <w:r>
              <w:rPr>
                <w:rFonts w:ascii="宋体" w:hAnsi="宋体" w:cs="宋体" w:hint="eastAsia"/>
                <w:color w:val="000000"/>
                <w:kern w:val="0"/>
                <w:sz w:val="20"/>
                <w:szCs w:val="20"/>
                <w:lang w:bidi="ar"/>
              </w:rPr>
              <w:br/>
              <w:t>3、进度、制度、机构人员、职责等图表上墙不全，扣0.5分；</w:t>
            </w:r>
            <w:r>
              <w:rPr>
                <w:rFonts w:ascii="宋体" w:hAnsi="宋体" w:cs="宋体" w:hint="eastAsia"/>
                <w:color w:val="000000"/>
                <w:kern w:val="0"/>
                <w:sz w:val="20"/>
                <w:szCs w:val="20"/>
                <w:lang w:bidi="ar"/>
              </w:rPr>
              <w:br/>
              <w:t>4、管理人员未挂牌上岗，扣0.5分。</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color w:val="000000"/>
                <w:sz w:val="20"/>
                <w:szCs w:val="20"/>
              </w:rPr>
            </w:pPr>
          </w:p>
        </w:tc>
      </w:tr>
      <w:tr w:rsidR="000B0109" w:rsidTr="00557206">
        <w:trPr>
          <w:trHeight w:val="1459"/>
          <w:jc w:val="center"/>
        </w:trPr>
        <w:tc>
          <w:tcPr>
            <w:tcW w:w="418" w:type="dxa"/>
            <w:vMerge/>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76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9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试验室</w:t>
            </w:r>
          </w:p>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监理须</w:t>
            </w:r>
            <w:proofErr w:type="gramEnd"/>
            <w:r>
              <w:rPr>
                <w:rFonts w:ascii="宋体" w:hAnsi="宋体" w:cs="宋体" w:hint="eastAsia"/>
                <w:color w:val="000000"/>
                <w:kern w:val="0"/>
                <w:sz w:val="20"/>
                <w:szCs w:val="20"/>
                <w:lang w:bidi="ar"/>
              </w:rPr>
              <w:t>独立开展试验检测，试验设施及审批手续、抽检资料完整：</w:t>
            </w:r>
            <w:r>
              <w:rPr>
                <w:rFonts w:ascii="宋体" w:hAnsi="宋体" w:cs="宋体" w:hint="eastAsia"/>
                <w:color w:val="000000"/>
                <w:kern w:val="0"/>
                <w:sz w:val="20"/>
                <w:szCs w:val="20"/>
                <w:lang w:bidi="ar"/>
              </w:rPr>
              <w:br/>
              <w:t>1、现场设立监理工地试验室，得3分；</w:t>
            </w:r>
            <w:r>
              <w:rPr>
                <w:rFonts w:ascii="宋体" w:hAnsi="宋体" w:cs="宋体" w:hint="eastAsia"/>
                <w:color w:val="000000"/>
                <w:kern w:val="0"/>
                <w:sz w:val="20"/>
                <w:szCs w:val="20"/>
                <w:lang w:bidi="ar"/>
              </w:rPr>
              <w:br/>
              <w:t>2、监理试验检测外委，外委审批手续齐全、现场有设</w:t>
            </w:r>
            <w:proofErr w:type="gramStart"/>
            <w:r>
              <w:rPr>
                <w:rFonts w:ascii="宋体" w:hAnsi="宋体" w:cs="宋体" w:hint="eastAsia"/>
                <w:color w:val="000000"/>
                <w:kern w:val="0"/>
                <w:sz w:val="20"/>
                <w:szCs w:val="20"/>
                <w:lang w:bidi="ar"/>
              </w:rPr>
              <w:t>立标养室的</w:t>
            </w:r>
            <w:proofErr w:type="gramEnd"/>
            <w:r>
              <w:rPr>
                <w:rFonts w:ascii="宋体" w:hAnsi="宋体" w:cs="宋体" w:hint="eastAsia"/>
                <w:color w:val="000000"/>
                <w:kern w:val="0"/>
                <w:sz w:val="20"/>
                <w:szCs w:val="20"/>
                <w:lang w:bidi="ar"/>
              </w:rPr>
              <w:t>，得2分（其</w:t>
            </w:r>
            <w:proofErr w:type="gramStart"/>
            <w:r>
              <w:rPr>
                <w:rFonts w:ascii="宋体" w:hAnsi="宋体" w:cs="宋体" w:hint="eastAsia"/>
                <w:color w:val="000000"/>
                <w:kern w:val="0"/>
                <w:sz w:val="20"/>
                <w:szCs w:val="20"/>
                <w:lang w:bidi="ar"/>
              </w:rPr>
              <w:t>中外委</w:t>
            </w:r>
            <w:proofErr w:type="gramEnd"/>
            <w:r>
              <w:rPr>
                <w:rFonts w:ascii="宋体" w:hAnsi="宋体" w:cs="宋体" w:hint="eastAsia"/>
                <w:color w:val="000000"/>
                <w:kern w:val="0"/>
                <w:sz w:val="20"/>
                <w:szCs w:val="20"/>
                <w:lang w:bidi="ar"/>
              </w:rPr>
              <w:t>审批手续、现场</w:t>
            </w:r>
            <w:proofErr w:type="gramStart"/>
            <w:r>
              <w:rPr>
                <w:rFonts w:ascii="宋体" w:hAnsi="宋体" w:cs="宋体" w:hint="eastAsia"/>
                <w:color w:val="000000"/>
                <w:kern w:val="0"/>
                <w:sz w:val="20"/>
                <w:szCs w:val="20"/>
                <w:lang w:bidi="ar"/>
              </w:rPr>
              <w:t>标养室</w:t>
            </w:r>
            <w:proofErr w:type="gramEnd"/>
            <w:r>
              <w:rPr>
                <w:rFonts w:ascii="宋体" w:hAnsi="宋体" w:cs="宋体" w:hint="eastAsia"/>
                <w:color w:val="000000"/>
                <w:kern w:val="0"/>
                <w:sz w:val="20"/>
                <w:szCs w:val="20"/>
                <w:lang w:bidi="ar"/>
              </w:rPr>
              <w:t>每项各1分，不满足不得分）。</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color w:val="000000"/>
                <w:sz w:val="20"/>
                <w:szCs w:val="20"/>
              </w:rPr>
            </w:pPr>
          </w:p>
        </w:tc>
      </w:tr>
      <w:tr w:rsidR="000B0109" w:rsidTr="00557206">
        <w:trPr>
          <w:trHeight w:val="835"/>
          <w:jc w:val="center"/>
        </w:trPr>
        <w:tc>
          <w:tcPr>
            <w:tcW w:w="418"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6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内业管理</w:t>
            </w:r>
            <w:r>
              <w:rPr>
                <w:rFonts w:ascii="宋体" w:hAnsi="宋体" w:cs="宋体" w:hint="eastAsia"/>
                <w:b/>
                <w:color w:val="000000"/>
                <w:kern w:val="0"/>
                <w:sz w:val="20"/>
                <w:szCs w:val="20"/>
                <w:lang w:bidi="ar"/>
              </w:rPr>
              <w:br/>
              <w:t>（15分）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1、</w:t>
            </w:r>
            <w:r>
              <w:rPr>
                <w:rStyle w:val="font61"/>
                <w:color w:val="auto"/>
                <w:lang w:bidi="ar"/>
              </w:rPr>
              <w:t>未准备</w:t>
            </w:r>
            <w:proofErr w:type="gramStart"/>
            <w:r>
              <w:rPr>
                <w:rStyle w:val="font61"/>
                <w:color w:val="auto"/>
                <w:lang w:bidi="ar"/>
              </w:rPr>
              <w:t>项目标段</w:t>
            </w:r>
            <w:proofErr w:type="gramEnd"/>
            <w:r>
              <w:rPr>
                <w:rStyle w:val="font61"/>
                <w:color w:val="auto"/>
                <w:lang w:bidi="ar"/>
              </w:rPr>
              <w:t>实时进度、质量、安全、履约、标准化等情况文字材料的，扣5分；材料准备不认真，内容流于形式，马虎应付的，扣3分。</w:t>
            </w:r>
          </w:p>
          <w:p w:rsidR="000B0109" w:rsidRDefault="000B0109" w:rsidP="00557206">
            <w:pPr>
              <w:widowControl/>
              <w:spacing w:line="400" w:lineRule="exact"/>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2、将下列监理管理内业资料及时上传至内业资料平台进行评分</w:t>
            </w:r>
            <w:r>
              <w:rPr>
                <w:rStyle w:val="font61"/>
                <w:color w:val="auto"/>
                <w:lang w:bidi="ar"/>
              </w:rPr>
              <w:t>（或根据实际情况，组织现场内业资料考核评分）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（1）监理计划及监理细则（1分）：未上传每项扣0.5分，内容不完善或与项目实际不符每项扣0.2分；</w:t>
            </w:r>
            <w:r>
              <w:rPr>
                <w:rFonts w:ascii="宋体" w:hAnsi="宋体" w:cs="宋体" w:hint="eastAsia"/>
                <w:color w:val="000000"/>
                <w:kern w:val="0"/>
                <w:sz w:val="20"/>
                <w:szCs w:val="20"/>
                <w:lang w:bidi="ar"/>
              </w:rPr>
              <w:br/>
              <w:t>（2）工地例会纪要（3分）：未上传</w:t>
            </w:r>
            <w:proofErr w:type="gramStart"/>
            <w:r>
              <w:rPr>
                <w:rFonts w:ascii="宋体" w:hAnsi="宋体" w:cs="宋体" w:hint="eastAsia"/>
                <w:color w:val="000000"/>
                <w:kern w:val="0"/>
                <w:sz w:val="20"/>
                <w:szCs w:val="20"/>
                <w:lang w:bidi="ar"/>
              </w:rPr>
              <w:t>每月次扣1分</w:t>
            </w:r>
            <w:proofErr w:type="gramEnd"/>
            <w:r>
              <w:rPr>
                <w:rFonts w:ascii="宋体" w:hAnsi="宋体" w:cs="宋体" w:hint="eastAsia"/>
                <w:color w:val="000000"/>
                <w:kern w:val="0"/>
                <w:sz w:val="20"/>
                <w:szCs w:val="20"/>
                <w:lang w:bidi="ar"/>
              </w:rPr>
              <w:t>（扣完为止），上</w:t>
            </w:r>
            <w:proofErr w:type="gramStart"/>
            <w:r>
              <w:rPr>
                <w:rFonts w:ascii="宋体" w:hAnsi="宋体" w:cs="宋体" w:hint="eastAsia"/>
                <w:color w:val="000000"/>
                <w:kern w:val="0"/>
                <w:sz w:val="20"/>
                <w:szCs w:val="20"/>
                <w:lang w:bidi="ar"/>
              </w:rPr>
              <w:t>传内容</w:t>
            </w:r>
            <w:proofErr w:type="gramEnd"/>
            <w:r>
              <w:rPr>
                <w:rFonts w:ascii="宋体" w:hAnsi="宋体" w:cs="宋体" w:hint="eastAsia"/>
                <w:color w:val="000000"/>
                <w:kern w:val="0"/>
                <w:sz w:val="20"/>
                <w:szCs w:val="20"/>
                <w:lang w:bidi="ar"/>
              </w:rPr>
              <w:t>不完整或纪要内容流于形式，</w:t>
            </w:r>
            <w:proofErr w:type="gramStart"/>
            <w:r>
              <w:rPr>
                <w:rFonts w:ascii="宋体" w:hAnsi="宋体" w:cs="宋体" w:hint="eastAsia"/>
                <w:color w:val="000000"/>
                <w:kern w:val="0"/>
                <w:sz w:val="20"/>
                <w:szCs w:val="20"/>
                <w:lang w:bidi="ar"/>
              </w:rPr>
              <w:t>每月次扣</w:t>
            </w:r>
            <w:proofErr w:type="gramEnd"/>
            <w:r>
              <w:rPr>
                <w:rFonts w:ascii="宋体" w:hAnsi="宋体" w:cs="宋体" w:hint="eastAsia"/>
                <w:color w:val="000000"/>
                <w:kern w:val="0"/>
                <w:sz w:val="20"/>
                <w:szCs w:val="20"/>
                <w:lang w:bidi="ar"/>
              </w:rPr>
              <w:t>0.5分；</w:t>
            </w:r>
            <w:r>
              <w:rPr>
                <w:rFonts w:ascii="宋体" w:hAnsi="宋体" w:cs="宋体" w:hint="eastAsia"/>
                <w:color w:val="000000"/>
                <w:kern w:val="0"/>
                <w:sz w:val="20"/>
                <w:szCs w:val="20"/>
                <w:lang w:bidi="ar"/>
              </w:rPr>
              <w:br/>
              <w:t>（3）监理月报（3分）：未上传</w:t>
            </w:r>
            <w:proofErr w:type="gramStart"/>
            <w:r>
              <w:rPr>
                <w:rFonts w:ascii="宋体" w:hAnsi="宋体" w:cs="宋体" w:hint="eastAsia"/>
                <w:color w:val="000000"/>
                <w:kern w:val="0"/>
                <w:sz w:val="20"/>
                <w:szCs w:val="20"/>
                <w:lang w:bidi="ar"/>
              </w:rPr>
              <w:t>每月次扣1分</w:t>
            </w:r>
            <w:proofErr w:type="gramEnd"/>
            <w:r>
              <w:rPr>
                <w:rFonts w:ascii="宋体" w:hAnsi="宋体" w:cs="宋体" w:hint="eastAsia"/>
                <w:color w:val="000000"/>
                <w:kern w:val="0"/>
                <w:sz w:val="20"/>
                <w:szCs w:val="20"/>
                <w:lang w:bidi="ar"/>
              </w:rPr>
              <w:t>（扣完为止），内容不完善</w:t>
            </w:r>
            <w:proofErr w:type="gramStart"/>
            <w:r>
              <w:rPr>
                <w:rFonts w:ascii="宋体" w:hAnsi="宋体" w:cs="宋体" w:hint="eastAsia"/>
                <w:color w:val="000000"/>
                <w:kern w:val="0"/>
                <w:sz w:val="20"/>
                <w:szCs w:val="20"/>
                <w:lang w:bidi="ar"/>
              </w:rPr>
              <w:t>每月次扣</w:t>
            </w:r>
            <w:proofErr w:type="gramEnd"/>
            <w:r>
              <w:rPr>
                <w:rFonts w:ascii="宋体" w:hAnsi="宋体" w:cs="宋体" w:hint="eastAsia"/>
                <w:color w:val="000000"/>
                <w:kern w:val="0"/>
                <w:sz w:val="20"/>
                <w:szCs w:val="20"/>
                <w:lang w:bidi="ar"/>
              </w:rPr>
              <w:t>0.5分；</w:t>
            </w:r>
            <w:r>
              <w:rPr>
                <w:rFonts w:ascii="宋体" w:hAnsi="宋体" w:cs="宋体" w:hint="eastAsia"/>
                <w:color w:val="000000"/>
                <w:kern w:val="0"/>
                <w:sz w:val="20"/>
                <w:szCs w:val="20"/>
                <w:lang w:bidi="ar"/>
              </w:rPr>
              <w:br/>
              <w:t>（4）整改反馈，包括监理指令、通知单、上级主管部门通报（2分）：</w:t>
            </w:r>
            <w:proofErr w:type="gramStart"/>
            <w:r>
              <w:rPr>
                <w:rFonts w:ascii="宋体" w:hAnsi="宋体" w:cs="宋体" w:hint="eastAsia"/>
                <w:color w:val="000000"/>
                <w:kern w:val="0"/>
                <w:sz w:val="20"/>
                <w:szCs w:val="20"/>
                <w:lang w:bidi="ar"/>
              </w:rPr>
              <w:t>未上传扣2分</w:t>
            </w:r>
            <w:proofErr w:type="gramEnd"/>
            <w:r>
              <w:rPr>
                <w:rFonts w:ascii="宋体" w:hAnsi="宋体" w:cs="宋体" w:hint="eastAsia"/>
                <w:color w:val="000000"/>
                <w:kern w:val="0"/>
                <w:sz w:val="20"/>
                <w:szCs w:val="20"/>
                <w:lang w:bidi="ar"/>
              </w:rPr>
              <w:t>，上传不完整扣1分，未建立</w:t>
            </w:r>
            <w:proofErr w:type="gramStart"/>
            <w:r>
              <w:rPr>
                <w:rFonts w:ascii="宋体" w:hAnsi="宋体" w:cs="宋体" w:hint="eastAsia"/>
                <w:color w:val="000000"/>
                <w:kern w:val="0"/>
                <w:sz w:val="20"/>
                <w:szCs w:val="20"/>
                <w:lang w:bidi="ar"/>
              </w:rPr>
              <w:t>台账扣</w:t>
            </w:r>
            <w:proofErr w:type="gramEnd"/>
            <w:r>
              <w:rPr>
                <w:rFonts w:ascii="宋体" w:hAnsi="宋体" w:cs="宋体" w:hint="eastAsia"/>
                <w:color w:val="000000"/>
                <w:kern w:val="0"/>
                <w:sz w:val="20"/>
                <w:szCs w:val="20"/>
                <w:lang w:bidi="ar"/>
              </w:rPr>
              <w:t>0.5分，内容不完善每项扣0.5分；</w:t>
            </w:r>
            <w:r>
              <w:rPr>
                <w:rFonts w:ascii="宋体" w:hAnsi="宋体" w:cs="宋体" w:hint="eastAsia"/>
                <w:color w:val="000000"/>
                <w:kern w:val="0"/>
                <w:sz w:val="20"/>
                <w:szCs w:val="20"/>
                <w:lang w:bidi="ar"/>
              </w:rPr>
              <w:br/>
              <w:t>（5）计量支付（1分）：</w:t>
            </w:r>
            <w:proofErr w:type="gramStart"/>
            <w:r>
              <w:rPr>
                <w:rFonts w:ascii="宋体" w:hAnsi="宋体" w:cs="宋体" w:hint="eastAsia"/>
                <w:color w:val="000000"/>
                <w:kern w:val="0"/>
                <w:sz w:val="20"/>
                <w:szCs w:val="20"/>
                <w:lang w:bidi="ar"/>
              </w:rPr>
              <w:t>未上传扣1分</w:t>
            </w:r>
            <w:proofErr w:type="gramEnd"/>
            <w:r>
              <w:rPr>
                <w:rFonts w:ascii="宋体" w:hAnsi="宋体" w:cs="宋体" w:hint="eastAsia"/>
                <w:color w:val="000000"/>
                <w:kern w:val="0"/>
                <w:sz w:val="20"/>
                <w:szCs w:val="20"/>
                <w:lang w:bidi="ar"/>
              </w:rPr>
              <w:t>，上传不齐全扣0.5分；</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（6）安全生产费（2分）：未审核审查安全生产费用的扣2分，审核审查不</w:t>
            </w:r>
            <w:proofErr w:type="gramStart"/>
            <w:r>
              <w:rPr>
                <w:rFonts w:ascii="宋体" w:hAnsi="宋体" w:cs="宋体" w:hint="eastAsia"/>
                <w:color w:val="000000"/>
                <w:kern w:val="0"/>
                <w:sz w:val="20"/>
                <w:szCs w:val="20"/>
                <w:lang w:bidi="ar"/>
              </w:rPr>
              <w:t>严格扣</w:t>
            </w:r>
            <w:proofErr w:type="gramEnd"/>
            <w:r>
              <w:rPr>
                <w:rFonts w:ascii="宋体" w:hAnsi="宋体" w:cs="宋体" w:hint="eastAsia"/>
                <w:color w:val="000000"/>
                <w:kern w:val="0"/>
                <w:sz w:val="20"/>
                <w:szCs w:val="20"/>
                <w:lang w:bidi="ar"/>
              </w:rPr>
              <w:t>1分；</w:t>
            </w:r>
            <w:r>
              <w:rPr>
                <w:rFonts w:ascii="宋体" w:hAnsi="宋体" w:cs="宋体" w:hint="eastAsia"/>
                <w:color w:val="000000"/>
                <w:kern w:val="0"/>
                <w:sz w:val="20"/>
                <w:szCs w:val="20"/>
                <w:lang w:bidi="ar"/>
              </w:rPr>
              <w:br/>
              <w:t>（7）安全生产月例会（2分）：未上传</w:t>
            </w:r>
            <w:proofErr w:type="gramStart"/>
            <w:r>
              <w:rPr>
                <w:rFonts w:ascii="宋体" w:hAnsi="宋体" w:cs="宋体" w:hint="eastAsia"/>
                <w:color w:val="000000"/>
                <w:kern w:val="0"/>
                <w:sz w:val="20"/>
                <w:szCs w:val="20"/>
                <w:lang w:bidi="ar"/>
              </w:rPr>
              <w:t>每月次扣</w:t>
            </w:r>
            <w:proofErr w:type="gramEnd"/>
            <w:r>
              <w:rPr>
                <w:rFonts w:ascii="宋体" w:hAnsi="宋体" w:cs="宋体" w:hint="eastAsia"/>
                <w:color w:val="000000"/>
                <w:kern w:val="0"/>
                <w:sz w:val="20"/>
                <w:szCs w:val="20"/>
                <w:lang w:bidi="ar"/>
              </w:rPr>
              <w:t>0.2分（扣完为止），上</w:t>
            </w:r>
            <w:proofErr w:type="gramStart"/>
            <w:r>
              <w:rPr>
                <w:rFonts w:ascii="宋体" w:hAnsi="宋体" w:cs="宋体" w:hint="eastAsia"/>
                <w:color w:val="000000"/>
                <w:kern w:val="0"/>
                <w:sz w:val="20"/>
                <w:szCs w:val="20"/>
                <w:lang w:bidi="ar"/>
              </w:rPr>
              <w:t>传内容</w:t>
            </w:r>
            <w:proofErr w:type="gramEnd"/>
            <w:r>
              <w:rPr>
                <w:rFonts w:ascii="宋体" w:hAnsi="宋体" w:cs="宋体" w:hint="eastAsia"/>
                <w:color w:val="000000"/>
                <w:kern w:val="0"/>
                <w:sz w:val="20"/>
                <w:szCs w:val="20"/>
                <w:lang w:bidi="ar"/>
              </w:rPr>
              <w:t>不完整或纪要内容流于形式，</w:t>
            </w:r>
            <w:proofErr w:type="gramStart"/>
            <w:r>
              <w:rPr>
                <w:rFonts w:ascii="宋体" w:hAnsi="宋体" w:cs="宋体" w:hint="eastAsia"/>
                <w:color w:val="000000"/>
                <w:kern w:val="0"/>
                <w:sz w:val="20"/>
                <w:szCs w:val="20"/>
                <w:lang w:bidi="ar"/>
              </w:rPr>
              <w:t>每月次扣</w:t>
            </w:r>
            <w:proofErr w:type="gramEnd"/>
            <w:r>
              <w:rPr>
                <w:rFonts w:ascii="宋体" w:hAnsi="宋体" w:cs="宋体" w:hint="eastAsia"/>
                <w:color w:val="000000"/>
                <w:kern w:val="0"/>
                <w:sz w:val="20"/>
                <w:szCs w:val="20"/>
                <w:lang w:bidi="ar"/>
              </w:rPr>
              <w:t>0.1分。</w:t>
            </w:r>
            <w:r>
              <w:rPr>
                <w:rFonts w:ascii="宋体" w:hAnsi="宋体" w:cs="宋体" w:hint="eastAsia"/>
                <w:color w:val="000000"/>
                <w:kern w:val="0"/>
                <w:sz w:val="20"/>
                <w:szCs w:val="20"/>
                <w:lang w:bidi="ar"/>
              </w:rPr>
              <w:br/>
              <w:t>（8）未组织总监办内部标准化宣贯学习，扣1；组织学习不到位或流于形式，扣0.5分。</w:t>
            </w:r>
          </w:p>
          <w:p w:rsidR="000B0109" w:rsidRDefault="000B0109" w:rsidP="00557206">
            <w:pPr>
              <w:widowControl/>
              <w:spacing w:line="400" w:lineRule="exact"/>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3、</w:t>
            </w:r>
            <w:r>
              <w:rPr>
                <w:rStyle w:val="font61"/>
                <w:rFonts w:hint="default"/>
                <w:color w:val="auto"/>
                <w:lang w:bidi="ar"/>
              </w:rPr>
              <w:t>按要求每月25日前上传监理月报至内业资料平台，未上传的，扣1分/月；逾期上传的扣0.5分/月；上传的施工月报内容与项目实际不符，马虎应付的，扣0.3分/月。</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color w:val="000000"/>
                <w:sz w:val="20"/>
                <w:szCs w:val="20"/>
              </w:rPr>
            </w:pPr>
          </w:p>
        </w:tc>
      </w:tr>
      <w:tr w:rsidR="000B0109" w:rsidTr="00557206">
        <w:trPr>
          <w:trHeight w:val="799"/>
          <w:jc w:val="center"/>
        </w:trPr>
        <w:tc>
          <w:tcPr>
            <w:tcW w:w="418"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16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管理实效</w:t>
            </w:r>
            <w:r>
              <w:rPr>
                <w:rFonts w:ascii="宋体" w:hAnsi="宋体" w:cs="宋体" w:hint="eastAsia"/>
                <w:color w:val="000000"/>
                <w:kern w:val="0"/>
                <w:sz w:val="20"/>
                <w:szCs w:val="20"/>
                <w:lang w:bidi="ar"/>
              </w:rPr>
              <w:br/>
              <w:t>（50分）</w:t>
            </w:r>
          </w:p>
        </w:tc>
        <w:tc>
          <w:tcPr>
            <w:tcW w:w="56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本项实得分X=50/100×（A1+A2+…+An）/n</w:t>
            </w:r>
            <w:r>
              <w:rPr>
                <w:rFonts w:ascii="宋体" w:hAnsi="宋体" w:cs="宋体" w:hint="eastAsia"/>
                <w:color w:val="000000"/>
                <w:kern w:val="0"/>
                <w:sz w:val="20"/>
                <w:szCs w:val="20"/>
                <w:lang w:bidi="ar"/>
              </w:rPr>
              <w:br/>
              <w:t>（A1、A2…为各施工标段综合得分，n为标段数）</w:t>
            </w:r>
          </w:p>
        </w:tc>
        <w:tc>
          <w:tcPr>
            <w:tcW w:w="1147"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color w:val="000000"/>
                <w:sz w:val="20"/>
                <w:szCs w:val="20"/>
              </w:rPr>
            </w:pPr>
          </w:p>
        </w:tc>
      </w:tr>
    </w:tbl>
    <w:p w:rsidR="000B0109" w:rsidRDefault="000B0109" w:rsidP="000B0109">
      <w:pPr>
        <w:rPr>
          <w:rFonts w:hint="eastAsia"/>
        </w:rPr>
      </w:pPr>
      <w:r>
        <w:rPr>
          <w:rFonts w:hint="eastAsia"/>
        </w:rPr>
        <w:br w:type="page"/>
      </w:r>
    </w:p>
    <w:tbl>
      <w:tblPr>
        <w:tblW w:w="0" w:type="auto"/>
        <w:jc w:val="center"/>
        <w:tblLayout w:type="fixed"/>
        <w:tblCellMar>
          <w:left w:w="0" w:type="dxa"/>
          <w:right w:w="0" w:type="dxa"/>
        </w:tblCellMar>
        <w:tblLook w:val="0000" w:firstRow="0" w:lastRow="0" w:firstColumn="0" w:lastColumn="0" w:noHBand="0" w:noVBand="0"/>
      </w:tblPr>
      <w:tblGrid>
        <w:gridCol w:w="512"/>
        <w:gridCol w:w="631"/>
        <w:gridCol w:w="762"/>
        <w:gridCol w:w="6213"/>
        <w:gridCol w:w="1200"/>
      </w:tblGrid>
      <w:tr w:rsidR="000B0109" w:rsidTr="00557206">
        <w:trPr>
          <w:trHeight w:val="619"/>
          <w:jc w:val="center"/>
        </w:trPr>
        <w:tc>
          <w:tcPr>
            <w:tcW w:w="9318" w:type="dxa"/>
            <w:gridSpan w:val="5"/>
            <w:tcBorders>
              <w:top w:val="nil"/>
              <w:left w:val="nil"/>
              <w:bottom w:val="nil"/>
              <w:right w:val="nil"/>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lang w:bidi="ar"/>
              </w:rPr>
              <w:lastRenderedPageBreak/>
              <w:t>福建省普通国省干线公路建设项目信用考核评分标准（设计单位）</w:t>
            </w:r>
          </w:p>
        </w:tc>
      </w:tr>
      <w:tr w:rsidR="000B0109" w:rsidTr="00557206">
        <w:trPr>
          <w:trHeight w:val="559"/>
          <w:jc w:val="center"/>
        </w:trPr>
        <w:tc>
          <w:tcPr>
            <w:tcW w:w="512" w:type="dxa"/>
            <w:tcBorders>
              <w:top w:val="single" w:sz="12"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序号</w:t>
            </w:r>
          </w:p>
        </w:tc>
        <w:tc>
          <w:tcPr>
            <w:tcW w:w="1393" w:type="dxa"/>
            <w:gridSpan w:val="2"/>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考评项目</w:t>
            </w:r>
          </w:p>
        </w:tc>
        <w:tc>
          <w:tcPr>
            <w:tcW w:w="6213" w:type="dxa"/>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考评标准</w:t>
            </w:r>
          </w:p>
        </w:tc>
        <w:tc>
          <w:tcPr>
            <w:tcW w:w="1200" w:type="dxa"/>
            <w:tcBorders>
              <w:top w:val="single" w:sz="12"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扣分或加分</w:t>
            </w:r>
          </w:p>
        </w:tc>
      </w:tr>
      <w:tr w:rsidR="000B0109" w:rsidTr="00557206">
        <w:trPr>
          <w:trHeight w:val="1360"/>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631"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设计前期（40分）</w:t>
            </w:r>
          </w:p>
        </w:tc>
        <w:tc>
          <w:tcPr>
            <w:tcW w:w="7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设计前期基本分（25分）</w:t>
            </w: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满足设计文件基本编制办法,顺利通过审批,得基本分25分。</w:t>
            </w:r>
            <w:r>
              <w:rPr>
                <w:rFonts w:ascii="宋体" w:hAnsi="宋体" w:cs="宋体" w:hint="eastAsia"/>
                <w:color w:val="000000"/>
                <w:kern w:val="0"/>
                <w:sz w:val="20"/>
                <w:szCs w:val="20"/>
                <w:lang w:bidi="ar"/>
              </w:rPr>
              <w:br/>
              <w:t>若存在以下情况：</w:t>
            </w:r>
            <w:r>
              <w:rPr>
                <w:rFonts w:ascii="宋体" w:hAnsi="宋体" w:cs="宋体" w:hint="eastAsia"/>
                <w:color w:val="000000"/>
                <w:kern w:val="0"/>
                <w:sz w:val="20"/>
                <w:szCs w:val="20"/>
                <w:lang w:bidi="ar"/>
              </w:rPr>
              <w:br/>
              <w:t>1、未积极配合审批单位、建设单位解答设计问题，扣10分。</w:t>
            </w:r>
            <w:r>
              <w:rPr>
                <w:rFonts w:ascii="宋体" w:hAnsi="宋体" w:cs="宋体" w:hint="eastAsia"/>
                <w:color w:val="000000"/>
                <w:kern w:val="0"/>
                <w:sz w:val="20"/>
                <w:szCs w:val="20"/>
                <w:lang w:bidi="ar"/>
              </w:rPr>
              <w:br/>
              <w:t>2、因设计单位原因，设计文件退回修改3次及以上的，扣10分。</w:t>
            </w:r>
          </w:p>
        </w:tc>
        <w:tc>
          <w:tcPr>
            <w:tcW w:w="1200"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1620"/>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63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7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设计方案（5分）</w:t>
            </w: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1、平纵面技术指标满足运行速度一致性要求，不符合每处扣0.5分，最高累计扣1分。</w:t>
            </w:r>
            <w:r>
              <w:rPr>
                <w:rFonts w:ascii="宋体" w:hAnsi="宋体" w:cs="宋体" w:hint="eastAsia"/>
                <w:color w:val="000000"/>
                <w:kern w:val="0"/>
                <w:sz w:val="20"/>
                <w:szCs w:val="20"/>
                <w:lang w:bidi="ar"/>
              </w:rPr>
              <w:br/>
              <w:t>2、原则上比较线里程应不少于本项目路线长度的30%，不足的扣1分。</w:t>
            </w:r>
            <w:r>
              <w:rPr>
                <w:rFonts w:ascii="宋体" w:hAnsi="宋体" w:cs="宋体" w:hint="eastAsia"/>
                <w:color w:val="000000"/>
                <w:kern w:val="0"/>
                <w:sz w:val="20"/>
                <w:szCs w:val="20"/>
                <w:lang w:bidi="ar"/>
              </w:rPr>
              <w:br/>
              <w:t>3、高填深挖路段是否与桥隧方案进行对比，未比选的扣1分。</w:t>
            </w:r>
            <w:r>
              <w:rPr>
                <w:rFonts w:ascii="宋体" w:hAnsi="宋体" w:cs="宋体" w:hint="eastAsia"/>
                <w:color w:val="000000"/>
                <w:kern w:val="0"/>
                <w:sz w:val="20"/>
                <w:szCs w:val="20"/>
                <w:lang w:bidi="ar"/>
              </w:rPr>
              <w:br/>
              <w:t>4、桥梁方案比选是否充分、合理，未比选或推荐方案不合理扣1分。</w:t>
            </w:r>
          </w:p>
        </w:tc>
        <w:tc>
          <w:tcPr>
            <w:tcW w:w="1200"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2640"/>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63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7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主体设计（5分）</w:t>
            </w: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1、存在一处中心挖方大于30米的高路堑，无合理理由或未经经济技术比较扣0.5分，累计扣分，最高扣1分。</w:t>
            </w:r>
            <w:r>
              <w:rPr>
                <w:rFonts w:ascii="宋体" w:hAnsi="宋体" w:cs="宋体" w:hint="eastAsia"/>
                <w:color w:val="000000"/>
                <w:kern w:val="0"/>
                <w:sz w:val="20"/>
                <w:szCs w:val="20"/>
                <w:lang w:bidi="ar"/>
              </w:rPr>
              <w:br/>
              <w:t>2、存在一处中心填方大于20米的高路堤，无合理理由或未经经济技术比较扣0.5分，累计扣分，最高扣1分。</w:t>
            </w:r>
            <w:r>
              <w:rPr>
                <w:rFonts w:ascii="宋体" w:hAnsi="宋体" w:cs="宋体" w:hint="eastAsia"/>
                <w:color w:val="000000"/>
                <w:kern w:val="0"/>
                <w:sz w:val="20"/>
                <w:szCs w:val="20"/>
                <w:lang w:bidi="ar"/>
              </w:rPr>
              <w:br/>
              <w:t>3、同一路段桥梁的桥型、跨径、墩柱等设计应尽量标准化统一化（除现浇桥梁及特大桥主桥外），同一桥梁的跨径布置原则上不得超过两种，桥台尽量避免高台高填，桩基等配筋率合理。无合理理由未执行扣1分。</w:t>
            </w:r>
            <w:r>
              <w:rPr>
                <w:rFonts w:ascii="宋体" w:hAnsi="宋体" w:cs="宋体" w:hint="eastAsia"/>
                <w:color w:val="000000"/>
                <w:kern w:val="0"/>
                <w:sz w:val="20"/>
                <w:szCs w:val="20"/>
                <w:lang w:bidi="ar"/>
              </w:rPr>
              <w:br/>
              <w:t>4、落实土石方平衡，少借方、</w:t>
            </w:r>
            <w:proofErr w:type="gramStart"/>
            <w:r>
              <w:rPr>
                <w:rFonts w:ascii="宋体" w:hAnsi="宋体" w:cs="宋体" w:hint="eastAsia"/>
                <w:color w:val="000000"/>
                <w:kern w:val="0"/>
                <w:sz w:val="20"/>
                <w:szCs w:val="20"/>
                <w:lang w:bidi="ar"/>
              </w:rPr>
              <w:t>零弃方</w:t>
            </w:r>
            <w:proofErr w:type="gramEnd"/>
            <w:r>
              <w:rPr>
                <w:rFonts w:ascii="宋体" w:hAnsi="宋体" w:cs="宋体" w:hint="eastAsia"/>
                <w:color w:val="000000"/>
                <w:kern w:val="0"/>
                <w:sz w:val="20"/>
                <w:szCs w:val="20"/>
                <w:lang w:bidi="ar"/>
              </w:rPr>
              <w:t>。弃方（不含非适用土）3%-5%以内扣0.1分，之后每增1%增扣0.1分，扣完为止；借方扣分参照弃方。（1分）</w:t>
            </w:r>
            <w:r>
              <w:rPr>
                <w:rFonts w:ascii="宋体" w:hAnsi="宋体" w:cs="宋体" w:hint="eastAsia"/>
                <w:color w:val="000000"/>
                <w:kern w:val="0"/>
                <w:sz w:val="20"/>
                <w:szCs w:val="20"/>
                <w:lang w:bidi="ar"/>
              </w:rPr>
              <w:br/>
              <w:t>5、应逐条落实专家意见进行修编、反馈。未按要求修改，且编制单位无合理解释的，每处扣0.2分。（1分）</w:t>
            </w:r>
          </w:p>
        </w:tc>
        <w:tc>
          <w:tcPr>
            <w:tcW w:w="1200"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1280"/>
          <w:jc w:val="center"/>
        </w:trPr>
        <w:tc>
          <w:tcPr>
            <w:tcW w:w="512" w:type="dxa"/>
            <w:tcBorders>
              <w:top w:val="nil"/>
              <w:left w:val="single" w:sz="12" w:space="0" w:color="000000"/>
              <w:bottom w:val="single" w:sz="8"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631" w:type="dxa"/>
            <w:vMerge/>
            <w:tcBorders>
              <w:top w:val="nil"/>
              <w:left w:val="single" w:sz="4" w:space="0" w:color="000000"/>
              <w:bottom w:val="single" w:sz="8"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7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概（预）算（5分）</w:t>
            </w:r>
          </w:p>
        </w:tc>
        <w:tc>
          <w:tcPr>
            <w:tcW w:w="6213"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1、概（预）算与估算之差是否控制在估算的10%以内，超出的本项不得分。</w:t>
            </w:r>
            <w:r>
              <w:rPr>
                <w:rFonts w:ascii="宋体" w:hAnsi="宋体" w:cs="宋体" w:hint="eastAsia"/>
                <w:color w:val="000000"/>
                <w:kern w:val="0"/>
                <w:sz w:val="20"/>
                <w:szCs w:val="20"/>
                <w:lang w:bidi="ar"/>
              </w:rPr>
              <w:br/>
              <w:t>2、概（预）算建安费送审金额与审定后金额相差控制在5%以内，每增加1%以内扣1分，即相差在6%以内的，扣1分，以此类推，最高扣5分。</w:t>
            </w:r>
          </w:p>
        </w:tc>
        <w:tc>
          <w:tcPr>
            <w:tcW w:w="1200" w:type="dxa"/>
            <w:tcBorders>
              <w:top w:val="nil"/>
              <w:left w:val="single" w:sz="4" w:space="0" w:color="000000"/>
              <w:bottom w:val="single" w:sz="8"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2860"/>
          <w:jc w:val="center"/>
        </w:trPr>
        <w:tc>
          <w:tcPr>
            <w:tcW w:w="512" w:type="dxa"/>
            <w:tcBorders>
              <w:top w:val="single" w:sz="8" w:space="0" w:color="000000"/>
              <w:left w:val="single" w:sz="12" w:space="0" w:color="000000"/>
              <w:bottom w:val="single" w:sz="8"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5</w:t>
            </w:r>
          </w:p>
        </w:tc>
        <w:tc>
          <w:tcPr>
            <w:tcW w:w="631" w:type="dxa"/>
            <w:vMerge w:val="restart"/>
            <w:tcBorders>
              <w:top w:val="single" w:sz="8" w:space="0" w:color="000000"/>
              <w:left w:val="single" w:sz="4" w:space="0" w:color="000000"/>
              <w:bottom w:val="single" w:sz="8"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后期服务（60分）</w:t>
            </w:r>
          </w:p>
        </w:tc>
        <w:tc>
          <w:tcPr>
            <w:tcW w:w="762" w:type="dxa"/>
            <w:tcBorders>
              <w:top w:val="single" w:sz="8" w:space="0" w:color="000000"/>
              <w:left w:val="single" w:sz="4" w:space="0" w:color="000000"/>
              <w:bottom w:val="single" w:sz="8"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后期服务基本分（20分）</w:t>
            </w:r>
          </w:p>
        </w:tc>
        <w:tc>
          <w:tcPr>
            <w:tcW w:w="6213" w:type="dxa"/>
            <w:tcBorders>
              <w:top w:val="single" w:sz="8" w:space="0" w:color="000000"/>
              <w:left w:val="single" w:sz="4" w:space="0" w:color="000000"/>
              <w:bottom w:val="single" w:sz="8"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未因设计单位责任发生质量、安全责任事故，服务及时，设计总体到位，得基本分20分。</w:t>
            </w:r>
            <w:r>
              <w:rPr>
                <w:rFonts w:ascii="宋体" w:hAnsi="宋体" w:cs="宋体" w:hint="eastAsia"/>
                <w:color w:val="000000"/>
                <w:kern w:val="0"/>
                <w:sz w:val="20"/>
                <w:szCs w:val="20"/>
                <w:lang w:bidi="ar"/>
              </w:rPr>
              <w:t>若存在以下情况的，予以扣分：</w:t>
            </w:r>
            <w:r>
              <w:rPr>
                <w:rFonts w:ascii="宋体" w:hAnsi="宋体" w:cs="宋体" w:hint="eastAsia"/>
                <w:color w:val="000000"/>
                <w:kern w:val="0"/>
                <w:sz w:val="20"/>
                <w:szCs w:val="20"/>
                <w:lang w:bidi="ar"/>
              </w:rPr>
              <w:br/>
              <w:t>1、因设计单位原因造成设计变更处理不及时，每延期1周扣1分。导致工程延期或进度滞后，扣15分；</w:t>
            </w:r>
            <w:r>
              <w:rPr>
                <w:rFonts w:ascii="宋体" w:hAnsi="宋体" w:cs="宋体" w:hint="eastAsia"/>
                <w:color w:val="000000"/>
                <w:kern w:val="0"/>
                <w:sz w:val="20"/>
                <w:szCs w:val="20"/>
                <w:lang w:bidi="ar"/>
              </w:rPr>
              <w:br/>
              <w:t xml:space="preserve">2、被交通主管部门书面通报点名批评的，省级通报批评一次扣5分，市级通报批评一次扣3分。 </w:t>
            </w:r>
            <w:r>
              <w:rPr>
                <w:rFonts w:ascii="宋体" w:hAnsi="宋体" w:cs="宋体" w:hint="eastAsia"/>
                <w:color w:val="000000"/>
                <w:kern w:val="0"/>
                <w:sz w:val="20"/>
                <w:szCs w:val="20"/>
                <w:lang w:bidi="ar"/>
              </w:rPr>
              <w:br/>
              <w:t>3、未参加工地例会，每次扣1分。</w:t>
            </w:r>
            <w:r>
              <w:rPr>
                <w:rFonts w:ascii="宋体" w:hAnsi="宋体" w:cs="宋体" w:hint="eastAsia"/>
                <w:color w:val="000000"/>
                <w:kern w:val="0"/>
                <w:sz w:val="20"/>
                <w:szCs w:val="20"/>
                <w:lang w:bidi="ar"/>
              </w:rPr>
              <w:br/>
              <w:t>4、项目交工前，设计单位未及时或</w:t>
            </w:r>
            <w:proofErr w:type="gramStart"/>
            <w:r>
              <w:rPr>
                <w:rFonts w:ascii="宋体" w:hAnsi="宋体" w:cs="宋体" w:hint="eastAsia"/>
                <w:color w:val="000000"/>
                <w:kern w:val="0"/>
                <w:sz w:val="20"/>
                <w:szCs w:val="20"/>
                <w:lang w:bidi="ar"/>
              </w:rPr>
              <w:t>不</w:t>
            </w:r>
            <w:proofErr w:type="gramEnd"/>
            <w:r>
              <w:rPr>
                <w:rFonts w:ascii="宋体" w:hAnsi="宋体" w:cs="宋体" w:hint="eastAsia"/>
                <w:color w:val="000000"/>
                <w:kern w:val="0"/>
                <w:sz w:val="20"/>
                <w:szCs w:val="20"/>
                <w:lang w:bidi="ar"/>
              </w:rPr>
              <w:t>出具设计复核报告，本项不得分。</w:t>
            </w:r>
          </w:p>
        </w:tc>
        <w:tc>
          <w:tcPr>
            <w:tcW w:w="1200" w:type="dxa"/>
            <w:tcBorders>
              <w:top w:val="single" w:sz="8" w:space="0" w:color="000000"/>
              <w:left w:val="single" w:sz="4" w:space="0" w:color="000000"/>
              <w:bottom w:val="single" w:sz="8"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1800"/>
          <w:jc w:val="center"/>
        </w:trPr>
        <w:tc>
          <w:tcPr>
            <w:tcW w:w="512" w:type="dxa"/>
            <w:tcBorders>
              <w:top w:val="single" w:sz="8"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631"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76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人员履约（3分）</w:t>
            </w:r>
          </w:p>
        </w:tc>
        <w:tc>
          <w:tcPr>
            <w:tcW w:w="621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设计代表应按合同要求到岗履职，若需更换，必须报建设单位批准：</w:t>
            </w:r>
            <w:r>
              <w:rPr>
                <w:rFonts w:ascii="宋体" w:hAnsi="宋体" w:cs="宋体" w:hint="eastAsia"/>
                <w:color w:val="000000"/>
                <w:kern w:val="0"/>
                <w:sz w:val="20"/>
                <w:szCs w:val="20"/>
                <w:lang w:bidi="ar"/>
              </w:rPr>
              <w:br/>
              <w:t>1、设计代表未按合同要求派驻现场的，每人次扣2分；</w:t>
            </w:r>
            <w:r>
              <w:rPr>
                <w:rFonts w:ascii="宋体" w:hAnsi="宋体" w:cs="宋体" w:hint="eastAsia"/>
                <w:color w:val="000000"/>
                <w:kern w:val="0"/>
                <w:sz w:val="20"/>
                <w:szCs w:val="20"/>
                <w:lang w:bidi="ar"/>
              </w:rPr>
              <w:br/>
              <w:t>2、设计代表人员资质、职称等条件不满足合同要求，每人次扣2分；派驻现场的人员未经建设单位审批，本项不得分。</w:t>
            </w:r>
            <w:r>
              <w:rPr>
                <w:rFonts w:ascii="宋体" w:hAnsi="宋体" w:cs="宋体" w:hint="eastAsia"/>
                <w:color w:val="000000"/>
                <w:kern w:val="0"/>
                <w:sz w:val="20"/>
                <w:szCs w:val="20"/>
                <w:lang w:bidi="ar"/>
              </w:rPr>
              <w:br/>
              <w:t xml:space="preserve">3、设计代表到岗未履职，每人次扣1分。                                    </w:t>
            </w:r>
          </w:p>
        </w:tc>
        <w:tc>
          <w:tcPr>
            <w:tcW w:w="1200" w:type="dxa"/>
            <w:tcBorders>
              <w:top w:val="single" w:sz="8"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2200"/>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63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7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设计资料准确性与设计变更（22分）</w:t>
            </w: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1、设计资料存在漏项、设计资料不完整，包括地质钻探、地形测量、中</w:t>
            </w:r>
            <w:proofErr w:type="gramStart"/>
            <w:r>
              <w:rPr>
                <w:rFonts w:ascii="宋体" w:hAnsi="宋体" w:cs="宋体" w:hint="eastAsia"/>
                <w:color w:val="000000"/>
                <w:kern w:val="0"/>
                <w:sz w:val="20"/>
                <w:szCs w:val="20"/>
                <w:lang w:bidi="ar"/>
              </w:rPr>
              <w:t>桩控制</w:t>
            </w:r>
            <w:proofErr w:type="gramEnd"/>
            <w:r>
              <w:rPr>
                <w:rFonts w:ascii="宋体" w:hAnsi="宋体" w:cs="宋体" w:hint="eastAsia"/>
                <w:color w:val="000000"/>
                <w:kern w:val="0"/>
                <w:sz w:val="20"/>
                <w:szCs w:val="20"/>
                <w:lang w:bidi="ar"/>
              </w:rPr>
              <w:t>资料不准确，外业调查不到位、调查资料不准确（如征地拆迁面积偏差较大，高压线、电杆、水渠等构造</w:t>
            </w:r>
            <w:proofErr w:type="gramStart"/>
            <w:r>
              <w:rPr>
                <w:rFonts w:ascii="宋体" w:hAnsi="宋体" w:cs="宋体" w:hint="eastAsia"/>
                <w:color w:val="000000"/>
                <w:kern w:val="0"/>
                <w:sz w:val="20"/>
                <w:szCs w:val="20"/>
                <w:lang w:bidi="ar"/>
              </w:rPr>
              <w:t>物调查</w:t>
            </w:r>
            <w:proofErr w:type="gramEnd"/>
            <w:r>
              <w:rPr>
                <w:rFonts w:ascii="宋体" w:hAnsi="宋体" w:cs="宋体" w:hint="eastAsia"/>
                <w:color w:val="000000"/>
                <w:kern w:val="0"/>
                <w:sz w:val="20"/>
                <w:szCs w:val="20"/>
                <w:lang w:bidi="ar"/>
              </w:rPr>
              <w:t>资料不准确）。构造物、特殊工点（特殊路基、大中型不良地质、软土路段）未提供专项工程地质勘察报告，地质钻探资料虚假或钻孔资料与实际差异大等，每项次扣2分。</w:t>
            </w:r>
            <w:r>
              <w:rPr>
                <w:rFonts w:ascii="宋体" w:hAnsi="宋体" w:cs="宋体" w:hint="eastAsia"/>
                <w:color w:val="000000"/>
                <w:kern w:val="0"/>
                <w:sz w:val="20"/>
                <w:szCs w:val="20"/>
                <w:lang w:bidi="ar"/>
              </w:rPr>
              <w:br/>
              <w:t>2、设计不合理、过度设计或因勘察、勘测或设计工作深度不足导致设计条件与实施条件发生较大偏差，导致改渠、增减涵洞、挡墙设置、</w:t>
            </w:r>
            <w:proofErr w:type="gramStart"/>
            <w:r>
              <w:rPr>
                <w:rFonts w:ascii="宋体" w:hAnsi="宋体" w:cs="宋体" w:hint="eastAsia"/>
                <w:color w:val="000000"/>
                <w:kern w:val="0"/>
                <w:sz w:val="20"/>
                <w:szCs w:val="20"/>
                <w:lang w:bidi="ar"/>
              </w:rPr>
              <w:t>涵底标高</w:t>
            </w:r>
            <w:proofErr w:type="gramEnd"/>
            <w:r>
              <w:rPr>
                <w:rFonts w:ascii="宋体" w:hAnsi="宋体" w:cs="宋体" w:hint="eastAsia"/>
                <w:color w:val="000000"/>
                <w:kern w:val="0"/>
                <w:sz w:val="20"/>
                <w:szCs w:val="20"/>
                <w:lang w:bidi="ar"/>
              </w:rPr>
              <w:t>严重失准、边坡</w:t>
            </w:r>
            <w:proofErr w:type="gramStart"/>
            <w:r>
              <w:rPr>
                <w:rFonts w:ascii="宋体" w:hAnsi="宋体" w:cs="宋体" w:hint="eastAsia"/>
                <w:color w:val="000000"/>
                <w:kern w:val="0"/>
                <w:sz w:val="20"/>
                <w:szCs w:val="20"/>
                <w:lang w:bidi="ar"/>
              </w:rPr>
              <w:t>坡</w:t>
            </w:r>
            <w:proofErr w:type="gramEnd"/>
            <w:r>
              <w:rPr>
                <w:rFonts w:ascii="宋体" w:hAnsi="宋体" w:cs="宋体" w:hint="eastAsia"/>
                <w:color w:val="000000"/>
                <w:kern w:val="0"/>
                <w:sz w:val="20"/>
                <w:szCs w:val="20"/>
                <w:lang w:bidi="ar"/>
              </w:rPr>
              <w:t>率、截水沟及排水沟与实际不符，软基处理、滑坡体处置、基础处理方案等与实际不符的，每项次扣2分。</w:t>
            </w:r>
          </w:p>
        </w:tc>
        <w:tc>
          <w:tcPr>
            <w:tcW w:w="1200" w:type="dxa"/>
            <w:vMerge w:val="restart"/>
            <w:tcBorders>
              <w:top w:val="nil"/>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1336"/>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63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b/>
                <w:color w:val="000000"/>
                <w:sz w:val="20"/>
                <w:szCs w:val="20"/>
              </w:rPr>
            </w:pP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因勘察、勘测或设计工作深度不足导致各种设计变更，按以下扣分：                                            1、有利于项目实施、或节省投资、或有更加科学方案的合理变更，而拒不变更的，扣10分。</w:t>
            </w:r>
            <w:r>
              <w:rPr>
                <w:rFonts w:ascii="宋体" w:hAnsi="宋体" w:cs="宋体" w:hint="eastAsia"/>
                <w:color w:val="000000"/>
                <w:kern w:val="0"/>
                <w:sz w:val="20"/>
                <w:szCs w:val="20"/>
                <w:lang w:bidi="ar"/>
              </w:rPr>
              <w:br/>
              <w:t>2、因设计单位原因导致的较大设计变更每处扣1分，重大设计变更每处扣2分（以设计变更台账为依据，</w:t>
            </w:r>
            <w:proofErr w:type="gramStart"/>
            <w:r>
              <w:rPr>
                <w:rFonts w:ascii="宋体" w:hAnsi="宋体" w:cs="宋体" w:hint="eastAsia"/>
                <w:color w:val="000000"/>
                <w:kern w:val="0"/>
                <w:sz w:val="20"/>
                <w:szCs w:val="20"/>
                <w:lang w:bidi="ar"/>
              </w:rPr>
              <w:t>台账未提供</w:t>
            </w:r>
            <w:proofErr w:type="gramEnd"/>
            <w:r>
              <w:rPr>
                <w:rFonts w:ascii="宋体" w:hAnsi="宋体" w:cs="宋体" w:hint="eastAsia"/>
                <w:color w:val="000000"/>
                <w:kern w:val="0"/>
                <w:sz w:val="20"/>
                <w:szCs w:val="20"/>
                <w:lang w:bidi="ar"/>
              </w:rPr>
              <w:t>但实际已发生变更，加倍扣分，以下同）。</w:t>
            </w:r>
            <w:r>
              <w:rPr>
                <w:rFonts w:ascii="宋体" w:hAnsi="宋体" w:cs="宋体" w:hint="eastAsia"/>
                <w:color w:val="000000"/>
                <w:kern w:val="0"/>
                <w:sz w:val="20"/>
                <w:szCs w:val="20"/>
                <w:lang w:bidi="ar"/>
              </w:rPr>
              <w:br/>
              <w:t>3、路线变更</w:t>
            </w:r>
            <w:proofErr w:type="gramStart"/>
            <w:r>
              <w:rPr>
                <w:rFonts w:ascii="宋体" w:hAnsi="宋体" w:cs="宋体" w:hint="eastAsia"/>
                <w:color w:val="000000"/>
                <w:kern w:val="0"/>
                <w:sz w:val="20"/>
                <w:szCs w:val="20"/>
                <w:lang w:bidi="ar"/>
              </w:rPr>
              <w:t>长度超</w:t>
            </w:r>
            <w:proofErr w:type="gramEnd"/>
            <w:r>
              <w:rPr>
                <w:rFonts w:ascii="宋体" w:hAnsi="宋体" w:cs="宋体" w:hint="eastAsia"/>
                <w:color w:val="000000"/>
                <w:kern w:val="0"/>
                <w:sz w:val="20"/>
                <w:szCs w:val="20"/>
                <w:lang w:bidi="ar"/>
              </w:rPr>
              <w:t xml:space="preserve">200米或总长度10%，扣1分，每增加100米或2%，增扣1分。桥梁跨径增加或减少1跨，扣2分。项目中隧道围岩级别总量变化（绝对值）超10%以上的扣2分，超20%以上的扣4分，超30%以上的扣6分。                                                        </w:t>
            </w:r>
            <w:r>
              <w:rPr>
                <w:rFonts w:ascii="宋体" w:hAnsi="宋体" w:cs="宋体" w:hint="eastAsia"/>
                <w:color w:val="000000"/>
                <w:kern w:val="0"/>
                <w:sz w:val="20"/>
                <w:szCs w:val="20"/>
                <w:lang w:bidi="ar"/>
              </w:rPr>
              <w:lastRenderedPageBreak/>
              <w:t>4、单项变更增加造价超过原对应工程量造价20%或累计总工程量的5%扣1分，每增加1%扣1分/处。</w:t>
            </w:r>
          </w:p>
          <w:p w:rsidR="000B0109" w:rsidRDefault="000B0109" w:rsidP="00557206">
            <w:pPr>
              <w:widowControl/>
              <w:spacing w:line="400" w:lineRule="exact"/>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5、累计节约造价占累计工程量的5%，加2分，每增加节约1%，增1分，封顶加5分。</w:t>
            </w:r>
          </w:p>
        </w:tc>
        <w:tc>
          <w:tcPr>
            <w:tcW w:w="1200" w:type="dxa"/>
            <w:vMerge/>
            <w:tcBorders>
              <w:top w:val="nil"/>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2180"/>
          <w:jc w:val="center"/>
        </w:trPr>
        <w:tc>
          <w:tcPr>
            <w:tcW w:w="512" w:type="dxa"/>
            <w:tcBorders>
              <w:top w:val="nil"/>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w:t>
            </w:r>
          </w:p>
        </w:tc>
        <w:tc>
          <w:tcPr>
            <w:tcW w:w="63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7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内业管理（15分）</w:t>
            </w:r>
          </w:p>
        </w:tc>
        <w:tc>
          <w:tcPr>
            <w:tcW w:w="62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1、未能及时进行设计技术及安全交底（以交底会议纪要或工地会议纪要为依据），每项次扣3分；未提供设计交底提纲扣3分。</w:t>
            </w:r>
            <w:r>
              <w:rPr>
                <w:rFonts w:ascii="宋体" w:hAnsi="宋体" w:cs="宋体" w:hint="eastAsia"/>
                <w:color w:val="000000"/>
                <w:kern w:val="0"/>
                <w:sz w:val="20"/>
                <w:szCs w:val="20"/>
                <w:lang w:bidi="ar"/>
              </w:rPr>
              <w:br/>
              <w:t>2、未建立设计变更台账，扣5分，</w:t>
            </w:r>
            <w:proofErr w:type="gramStart"/>
            <w:r>
              <w:rPr>
                <w:rFonts w:ascii="宋体" w:hAnsi="宋体" w:cs="宋体" w:hint="eastAsia"/>
                <w:color w:val="000000"/>
                <w:kern w:val="0"/>
                <w:sz w:val="20"/>
                <w:szCs w:val="20"/>
                <w:lang w:bidi="ar"/>
              </w:rPr>
              <w:t>台账未提供</w:t>
            </w:r>
            <w:proofErr w:type="gramEnd"/>
            <w:r>
              <w:rPr>
                <w:rFonts w:ascii="宋体" w:hAnsi="宋体" w:cs="宋体" w:hint="eastAsia"/>
                <w:color w:val="000000"/>
                <w:kern w:val="0"/>
                <w:sz w:val="20"/>
                <w:szCs w:val="20"/>
                <w:lang w:bidi="ar"/>
              </w:rPr>
              <w:t>变更时限、变更金额数据，每项扣3分。</w:t>
            </w:r>
            <w:r>
              <w:rPr>
                <w:rFonts w:ascii="宋体" w:hAnsi="宋体" w:cs="宋体" w:hint="eastAsia"/>
                <w:color w:val="000000"/>
                <w:kern w:val="0"/>
                <w:sz w:val="20"/>
                <w:szCs w:val="20"/>
                <w:lang w:bidi="ar"/>
              </w:rPr>
              <w:br/>
              <w:t>3、设计代表未按要求填写《设计代表工作日记》，扣8分。</w:t>
            </w:r>
            <w:r>
              <w:rPr>
                <w:rFonts w:ascii="宋体" w:hAnsi="宋体" w:cs="宋体" w:hint="eastAsia"/>
                <w:color w:val="000000"/>
                <w:kern w:val="0"/>
                <w:sz w:val="20"/>
                <w:szCs w:val="20"/>
                <w:lang w:bidi="ar"/>
              </w:rPr>
              <w:br/>
              <w:t>（本项资料上传至内业资料考核平台评分；</w:t>
            </w:r>
            <w:r>
              <w:rPr>
                <w:rStyle w:val="font61"/>
                <w:color w:val="auto"/>
                <w:lang w:bidi="ar"/>
              </w:rPr>
              <w:t>或根据实际情况，组织现场内业资料考核评分</w:t>
            </w:r>
            <w:r>
              <w:rPr>
                <w:rFonts w:ascii="宋体" w:hAnsi="宋体" w:cs="宋体" w:hint="eastAsia"/>
                <w:color w:val="000000"/>
                <w:kern w:val="0"/>
                <w:sz w:val="20"/>
                <w:szCs w:val="20"/>
                <w:lang w:bidi="ar"/>
              </w:rPr>
              <w:t>）</w:t>
            </w:r>
          </w:p>
        </w:tc>
        <w:tc>
          <w:tcPr>
            <w:tcW w:w="1200" w:type="dxa"/>
            <w:tcBorders>
              <w:top w:val="nil"/>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680"/>
          <w:jc w:val="center"/>
        </w:trPr>
        <w:tc>
          <w:tcPr>
            <w:tcW w:w="9318" w:type="dxa"/>
            <w:gridSpan w:val="5"/>
            <w:tcBorders>
              <w:top w:val="nil"/>
              <w:left w:val="nil"/>
              <w:bottom w:val="nil"/>
              <w:right w:val="nil"/>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注：1、设计</w:t>
            </w:r>
            <w:proofErr w:type="gramStart"/>
            <w:r>
              <w:rPr>
                <w:rFonts w:ascii="宋体" w:hAnsi="宋体" w:cs="宋体" w:hint="eastAsia"/>
                <w:color w:val="000000"/>
                <w:kern w:val="0"/>
                <w:sz w:val="22"/>
                <w:szCs w:val="22"/>
                <w:lang w:bidi="ar"/>
              </w:rPr>
              <w:t>前期由</w:t>
            </w:r>
            <w:proofErr w:type="gramEnd"/>
            <w:r>
              <w:rPr>
                <w:rFonts w:ascii="宋体" w:hAnsi="宋体" w:cs="宋体" w:hint="eastAsia"/>
                <w:color w:val="000000"/>
                <w:kern w:val="0"/>
                <w:sz w:val="22"/>
                <w:szCs w:val="22"/>
                <w:lang w:bidi="ar"/>
              </w:rPr>
              <w:t>地方审批项目，省公路局对设计单位标段评分=设计前期基本分得分+75分*（后期服务得分/60）；</w:t>
            </w:r>
          </w:p>
          <w:p w:rsidR="000B0109" w:rsidRDefault="000B0109" w:rsidP="00557206">
            <w:pPr>
              <w:widowControl/>
              <w:spacing w:line="400" w:lineRule="exact"/>
              <w:jc w:val="left"/>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 xml:space="preserve">   2、本表适用于由省级审批项目的设计单位综合评分。</w:t>
            </w:r>
          </w:p>
        </w:tc>
      </w:tr>
    </w:tbl>
    <w:p w:rsidR="000B0109" w:rsidRDefault="000B0109" w:rsidP="000B0109">
      <w:pPr>
        <w:rPr>
          <w:rFonts w:hint="eastAsia"/>
        </w:rPr>
      </w:pPr>
      <w:r>
        <w:rPr>
          <w:rFonts w:hint="eastAsia"/>
        </w:rPr>
        <w:br w:type="page"/>
      </w:r>
    </w:p>
    <w:tbl>
      <w:tblPr>
        <w:tblW w:w="0" w:type="auto"/>
        <w:jc w:val="center"/>
        <w:tblLayout w:type="fixed"/>
        <w:tblCellMar>
          <w:left w:w="0" w:type="dxa"/>
          <w:right w:w="0" w:type="dxa"/>
        </w:tblCellMar>
        <w:tblLook w:val="0000" w:firstRow="0" w:lastRow="0" w:firstColumn="0" w:lastColumn="0" w:noHBand="0" w:noVBand="0"/>
      </w:tblPr>
      <w:tblGrid>
        <w:gridCol w:w="625"/>
        <w:gridCol w:w="625"/>
        <w:gridCol w:w="1396"/>
        <w:gridCol w:w="5259"/>
        <w:gridCol w:w="1215"/>
      </w:tblGrid>
      <w:tr w:rsidR="000B0109" w:rsidTr="00557206">
        <w:trPr>
          <w:trHeight w:val="840"/>
          <w:jc w:val="center"/>
        </w:trPr>
        <w:tc>
          <w:tcPr>
            <w:tcW w:w="9120" w:type="dxa"/>
            <w:gridSpan w:val="5"/>
            <w:tcBorders>
              <w:top w:val="nil"/>
              <w:left w:val="nil"/>
              <w:bottom w:val="nil"/>
              <w:right w:val="nil"/>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lang w:bidi="ar"/>
              </w:rPr>
              <w:lastRenderedPageBreak/>
              <w:t>福建省普通国省干线公路建设项目信用考核评分标准（建设单位）</w:t>
            </w:r>
          </w:p>
        </w:tc>
      </w:tr>
      <w:tr w:rsidR="000B0109" w:rsidTr="00557206">
        <w:trPr>
          <w:trHeight w:val="679"/>
          <w:jc w:val="center"/>
        </w:trPr>
        <w:tc>
          <w:tcPr>
            <w:tcW w:w="625" w:type="dxa"/>
            <w:tcBorders>
              <w:top w:val="single" w:sz="12"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序号</w:t>
            </w:r>
          </w:p>
        </w:tc>
        <w:tc>
          <w:tcPr>
            <w:tcW w:w="2021" w:type="dxa"/>
            <w:gridSpan w:val="2"/>
            <w:tcBorders>
              <w:top w:val="single" w:sz="12" w:space="0" w:color="000000"/>
              <w:left w:val="nil"/>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考评项目</w:t>
            </w:r>
          </w:p>
        </w:tc>
        <w:tc>
          <w:tcPr>
            <w:tcW w:w="5259" w:type="dxa"/>
            <w:tcBorders>
              <w:top w:val="single" w:sz="12"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考评标准</w:t>
            </w:r>
          </w:p>
        </w:tc>
        <w:tc>
          <w:tcPr>
            <w:tcW w:w="1215" w:type="dxa"/>
            <w:tcBorders>
              <w:top w:val="single" w:sz="12"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扣分或加分</w:t>
            </w:r>
          </w:p>
        </w:tc>
      </w:tr>
      <w:tr w:rsidR="000B0109" w:rsidTr="00557206">
        <w:trPr>
          <w:trHeight w:val="2340"/>
          <w:jc w:val="center"/>
        </w:trPr>
        <w:tc>
          <w:tcPr>
            <w:tcW w:w="625"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2021" w:type="dxa"/>
            <w:gridSpan w:val="2"/>
            <w:tcBorders>
              <w:top w:val="single" w:sz="4" w:space="0" w:color="000000"/>
              <w:left w:val="nil"/>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进度质量安全管理基本分（30分）</w:t>
            </w:r>
          </w:p>
        </w:tc>
        <w:tc>
          <w:tcPr>
            <w:tcW w:w="5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1、年度进度正常、质量安全总体可控（项目完成投资比例，所管理标段未发生质量或安全责任事故，与省级投资计划</w:t>
            </w:r>
            <w:proofErr w:type="gramStart"/>
            <w:r>
              <w:rPr>
                <w:rFonts w:ascii="宋体" w:hAnsi="宋体" w:cs="宋体" w:hint="eastAsia"/>
                <w:color w:val="000000"/>
                <w:kern w:val="0"/>
                <w:sz w:val="20"/>
                <w:szCs w:val="20"/>
                <w:lang w:bidi="ar"/>
              </w:rPr>
              <w:t>中项目序</w:t>
            </w:r>
            <w:proofErr w:type="gramEnd"/>
            <w:r>
              <w:rPr>
                <w:rFonts w:ascii="宋体" w:hAnsi="宋体" w:cs="宋体" w:hint="eastAsia"/>
                <w:color w:val="000000"/>
                <w:kern w:val="0"/>
                <w:sz w:val="20"/>
                <w:szCs w:val="20"/>
                <w:lang w:bidi="ar"/>
              </w:rPr>
              <w:t>时投资比例相比,相差在±20%以内）得基本分30分。                                            2、进度滞后20%以上，每增5%扣1分，最高扣10分。               3、发生质量或安全责任事故，参照省厅直接定级（C、D级）标准分别扣20分、30分。</w:t>
            </w:r>
            <w:r>
              <w:rPr>
                <w:rFonts w:ascii="宋体" w:hAnsi="宋体" w:cs="宋体" w:hint="eastAsia"/>
                <w:color w:val="000000"/>
                <w:kern w:val="0"/>
                <w:sz w:val="20"/>
                <w:szCs w:val="20"/>
                <w:lang w:bidi="ar"/>
              </w:rPr>
              <w:br/>
              <w:t>4、因建设单位未有效处置工程建设过程中各类事项，导致工程建设过程中出现影响当地稳定安定的群体性事件的，扣30分。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920"/>
          <w:jc w:val="center"/>
        </w:trPr>
        <w:tc>
          <w:tcPr>
            <w:tcW w:w="625" w:type="dxa"/>
            <w:vMerge w:val="restart"/>
            <w:tcBorders>
              <w:top w:val="single" w:sz="4" w:space="0" w:color="000000"/>
              <w:left w:val="single" w:sz="12"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625" w:type="dxa"/>
            <w:vMerge w:val="restart"/>
            <w:tcBorders>
              <w:top w:val="single" w:sz="4" w:space="0" w:color="000000"/>
              <w:left w:val="single" w:sz="4" w:space="0" w:color="000000"/>
              <w:right w:val="nil"/>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管理实效（15分）</w:t>
            </w:r>
          </w:p>
        </w:tc>
        <w:tc>
          <w:tcPr>
            <w:tcW w:w="13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征地拆迁（5分）</w:t>
            </w:r>
          </w:p>
        </w:tc>
        <w:tc>
          <w:tcPr>
            <w:tcW w:w="5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未及时完成征地拆迁工作，总体无法确保无障碍施工，扣5分。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920"/>
          <w:jc w:val="center"/>
        </w:trPr>
        <w:tc>
          <w:tcPr>
            <w:tcW w:w="625" w:type="dxa"/>
            <w:vMerge/>
            <w:tcBorders>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625" w:type="dxa"/>
            <w:vMerge/>
            <w:tcBorders>
              <w:left w:val="single" w:sz="4" w:space="0" w:color="000000"/>
              <w:bottom w:val="single" w:sz="4" w:space="0" w:color="000000"/>
              <w:right w:val="nil"/>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139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“五标准五集中”（10分）</w:t>
            </w:r>
          </w:p>
        </w:tc>
        <w:tc>
          <w:tcPr>
            <w:tcW w:w="5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未按要求落实“五标准五集中”标准化建设管理，扣10分。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1915"/>
          <w:jc w:val="center"/>
        </w:trPr>
        <w:tc>
          <w:tcPr>
            <w:tcW w:w="625"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r>
              <w:rPr>
                <w:rFonts w:ascii="宋体" w:hAnsi="宋体" w:cs="宋体" w:hint="eastAsia"/>
                <w:color w:val="000000"/>
                <w:sz w:val="20"/>
                <w:szCs w:val="20"/>
              </w:rPr>
              <w:t>3</w:t>
            </w:r>
          </w:p>
        </w:tc>
        <w:tc>
          <w:tcPr>
            <w:tcW w:w="2021"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内业管理（15分）</w:t>
            </w:r>
          </w:p>
        </w:tc>
        <w:tc>
          <w:tcPr>
            <w:tcW w:w="5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将下列管理内业资料及时上传至内业资料平台进行评分</w:t>
            </w:r>
            <w:r>
              <w:rPr>
                <w:rStyle w:val="font61"/>
                <w:color w:val="auto"/>
                <w:lang w:bidi="ar"/>
              </w:rPr>
              <w:t>（或根据实际情况，组织现场内业资料考核评分）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1、未对项目开展“一月一检查”并形成通报（以建设单位“一月一检查”通报为准），每次扣1分，5分封顶。</w:t>
            </w:r>
            <w:r>
              <w:rPr>
                <w:rFonts w:ascii="宋体" w:hAnsi="宋体" w:cs="宋体" w:hint="eastAsia"/>
                <w:color w:val="000000"/>
                <w:kern w:val="0"/>
                <w:sz w:val="20"/>
                <w:szCs w:val="20"/>
                <w:lang w:bidi="ar"/>
              </w:rPr>
              <w:br/>
              <w:t>2、未认真对设计、施工、监理等参建单位开展履约管理，施工、监理、设计单位人员到岗率差，人脸识别考勤系统未建立的：</w:t>
            </w:r>
            <w:r>
              <w:rPr>
                <w:rFonts w:ascii="宋体" w:hAnsi="宋体" w:cs="宋体" w:hint="eastAsia"/>
                <w:color w:val="000000"/>
                <w:kern w:val="0"/>
                <w:sz w:val="20"/>
                <w:szCs w:val="20"/>
                <w:lang w:bidi="ar"/>
              </w:rPr>
              <w:br/>
              <w:t>（1）“一月一检查”通报中未体现对设计、施工、监理人员考勤检查情况，扣5分；</w:t>
            </w:r>
            <w:r>
              <w:rPr>
                <w:rFonts w:ascii="宋体" w:hAnsi="宋体" w:cs="宋体" w:hint="eastAsia"/>
                <w:color w:val="000000"/>
                <w:kern w:val="0"/>
                <w:sz w:val="20"/>
                <w:szCs w:val="20"/>
                <w:lang w:bidi="ar"/>
              </w:rPr>
              <w:br/>
              <w:t>（2）设计、施工、监理等参建单位人脸识别考勤系统未建立，扣5分；</w:t>
            </w:r>
            <w:r>
              <w:rPr>
                <w:rFonts w:ascii="宋体" w:hAnsi="宋体" w:cs="宋体" w:hint="eastAsia"/>
                <w:color w:val="000000"/>
                <w:kern w:val="0"/>
                <w:sz w:val="20"/>
                <w:szCs w:val="20"/>
                <w:lang w:bidi="ar"/>
              </w:rPr>
              <w:br/>
              <w:t>（3）施工、监理、设计人员到岗率不足80%，按每单位分别扣10分，扣完为止。</w:t>
            </w:r>
            <w:r>
              <w:rPr>
                <w:rFonts w:ascii="宋体" w:hAnsi="宋体" w:cs="宋体" w:hint="eastAsia"/>
                <w:color w:val="000000"/>
                <w:kern w:val="0"/>
                <w:sz w:val="20"/>
                <w:szCs w:val="20"/>
                <w:lang w:bidi="ar"/>
              </w:rPr>
              <w:br/>
              <w:t>3、质量管理、安全管理、工程计量支付、变更设计、财务管理、合同管理、征迁管理、生态文明、廉政建设、防止拖欠农民工工资等管理制度未以正式文件出台，每项扣1分。</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4、建设单位管理机构未履行报备手续，扣5分。</w:t>
            </w:r>
            <w:r>
              <w:rPr>
                <w:rFonts w:ascii="宋体" w:hAnsi="宋体" w:cs="宋体" w:hint="eastAsia"/>
                <w:color w:val="000000"/>
                <w:kern w:val="0"/>
                <w:sz w:val="20"/>
                <w:szCs w:val="20"/>
                <w:lang w:bidi="ar"/>
              </w:rPr>
              <w:br/>
              <w:t>5、基建程序不完备，扣5分。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1635"/>
          <w:jc w:val="center"/>
        </w:trPr>
        <w:tc>
          <w:tcPr>
            <w:tcW w:w="625" w:type="dxa"/>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2021" w:type="dxa"/>
            <w:gridSpan w:val="2"/>
            <w:tcBorders>
              <w:top w:val="single" w:sz="4" w:space="0" w:color="000000"/>
              <w:left w:val="nil"/>
              <w:bottom w:val="single" w:sz="4" w:space="0" w:color="000000"/>
              <w:right w:val="nil"/>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bidi="ar"/>
              </w:rPr>
              <w:t>关联分（40分）</w:t>
            </w:r>
          </w:p>
        </w:tc>
        <w:tc>
          <w:tcPr>
            <w:tcW w:w="52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本项实得分X=20/100×（A1+A2+…+An）/n+10/100×（B1+B2+…+</w:t>
            </w:r>
            <w:proofErr w:type="spellStart"/>
            <w:r>
              <w:rPr>
                <w:rFonts w:ascii="宋体" w:hAnsi="宋体" w:cs="宋体" w:hint="eastAsia"/>
                <w:color w:val="000000"/>
                <w:kern w:val="0"/>
                <w:sz w:val="20"/>
                <w:szCs w:val="20"/>
                <w:lang w:bidi="ar"/>
              </w:rPr>
              <w:t>Bm</w:t>
            </w:r>
            <w:proofErr w:type="spellEnd"/>
            <w:r>
              <w:rPr>
                <w:rFonts w:ascii="宋体" w:hAnsi="宋体" w:cs="宋体" w:hint="eastAsia"/>
                <w:color w:val="000000"/>
                <w:kern w:val="0"/>
                <w:sz w:val="20"/>
                <w:szCs w:val="20"/>
                <w:lang w:bidi="ar"/>
              </w:rPr>
              <w:t>）/m+10/100×（C1+C2+…+Ci）/</w:t>
            </w:r>
            <w:proofErr w:type="spellStart"/>
            <w:r>
              <w:rPr>
                <w:rFonts w:ascii="宋体" w:hAnsi="宋体" w:cs="宋体" w:hint="eastAsia"/>
                <w:color w:val="000000"/>
                <w:kern w:val="0"/>
                <w:sz w:val="20"/>
                <w:szCs w:val="20"/>
                <w:lang w:bidi="ar"/>
              </w:rPr>
              <w:t>i</w:t>
            </w:r>
            <w:proofErr w:type="spellEnd"/>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A1、A2…为各施工标段综合得分，n为施工标段数。</w:t>
            </w:r>
            <w:r>
              <w:rPr>
                <w:rFonts w:ascii="宋体" w:hAnsi="宋体" w:cs="宋体" w:hint="eastAsia"/>
                <w:color w:val="000000"/>
                <w:kern w:val="0"/>
                <w:sz w:val="20"/>
                <w:szCs w:val="20"/>
                <w:lang w:bidi="ar"/>
              </w:rPr>
              <w:br/>
              <w:t>B1、B2…为各监理标段综合得分，m为监理标段数。</w:t>
            </w:r>
            <w:r>
              <w:rPr>
                <w:rFonts w:ascii="宋体" w:hAnsi="宋体" w:cs="宋体" w:hint="eastAsia"/>
                <w:color w:val="000000"/>
                <w:kern w:val="0"/>
                <w:sz w:val="20"/>
                <w:szCs w:val="20"/>
                <w:lang w:bidi="ar"/>
              </w:rPr>
              <w:br/>
              <w:t>C1、C2…为各设计标段综合得分，</w:t>
            </w:r>
            <w:proofErr w:type="spellStart"/>
            <w:r>
              <w:rPr>
                <w:rFonts w:ascii="宋体" w:hAnsi="宋体" w:cs="宋体" w:hint="eastAsia"/>
                <w:color w:val="000000"/>
                <w:kern w:val="0"/>
                <w:sz w:val="20"/>
                <w:szCs w:val="20"/>
                <w:lang w:bidi="ar"/>
              </w:rPr>
              <w:t>i</w:t>
            </w:r>
            <w:proofErr w:type="spellEnd"/>
            <w:r>
              <w:rPr>
                <w:rFonts w:ascii="宋体" w:hAnsi="宋体" w:cs="宋体" w:hint="eastAsia"/>
                <w:color w:val="000000"/>
                <w:kern w:val="0"/>
                <w:sz w:val="20"/>
                <w:szCs w:val="20"/>
                <w:lang w:bidi="ar"/>
              </w:rPr>
              <w:t>为设计标段数。</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left"/>
              <w:rPr>
                <w:rFonts w:ascii="宋体" w:hAnsi="宋体" w:cs="宋体" w:hint="eastAsia"/>
                <w:color w:val="000000"/>
                <w:sz w:val="20"/>
                <w:szCs w:val="20"/>
              </w:rPr>
            </w:pPr>
          </w:p>
        </w:tc>
      </w:tr>
      <w:tr w:rsidR="000B0109" w:rsidTr="00557206">
        <w:trPr>
          <w:trHeight w:val="460"/>
          <w:jc w:val="center"/>
        </w:trPr>
        <w:tc>
          <w:tcPr>
            <w:tcW w:w="625" w:type="dxa"/>
            <w:vMerge w:val="restart"/>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2021" w:type="dxa"/>
            <w:gridSpan w:val="2"/>
            <w:vMerge w:val="restart"/>
            <w:tcBorders>
              <w:top w:val="single" w:sz="4" w:space="0" w:color="000000"/>
              <w:left w:val="nil"/>
              <w:bottom w:val="single" w:sz="12"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加分项</w:t>
            </w:r>
            <w:r>
              <w:rPr>
                <w:rFonts w:ascii="宋体" w:hAnsi="宋体" w:cs="宋体" w:hint="eastAsia"/>
                <w:color w:val="000000"/>
                <w:kern w:val="0"/>
                <w:sz w:val="20"/>
                <w:szCs w:val="20"/>
                <w:lang w:bidi="ar"/>
              </w:rPr>
              <w:br/>
              <w:t>（管理、融资等方面创新且成效较好）</w:t>
            </w:r>
          </w:p>
        </w:tc>
        <w:tc>
          <w:tcPr>
            <w:tcW w:w="525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承办市级标准化现场会加1分。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460"/>
          <w:jc w:val="center"/>
        </w:trPr>
        <w:tc>
          <w:tcPr>
            <w:tcW w:w="625" w:type="dxa"/>
            <w:vMerge/>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2021" w:type="dxa"/>
            <w:gridSpan w:val="2"/>
            <w:vMerge/>
            <w:tcBorders>
              <w:top w:val="single" w:sz="4" w:space="0" w:color="000000"/>
              <w:left w:val="nil"/>
              <w:bottom w:val="single" w:sz="12"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525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承办省级标准化现场会加3分。</w:t>
            </w:r>
          </w:p>
        </w:tc>
        <w:tc>
          <w:tcPr>
            <w:tcW w:w="1215" w:type="dxa"/>
            <w:tcBorders>
              <w:top w:val="single" w:sz="4" w:space="0" w:color="000000"/>
              <w:left w:val="single" w:sz="4" w:space="0" w:color="000000"/>
              <w:bottom w:val="single" w:sz="4"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r w:rsidR="000B0109" w:rsidTr="00557206">
        <w:trPr>
          <w:trHeight w:val="460"/>
          <w:jc w:val="center"/>
        </w:trPr>
        <w:tc>
          <w:tcPr>
            <w:tcW w:w="625" w:type="dxa"/>
            <w:vMerge/>
            <w:tcBorders>
              <w:top w:val="single" w:sz="4" w:space="0" w:color="000000"/>
              <w:left w:val="single" w:sz="12" w:space="0" w:color="000000"/>
              <w:bottom w:val="single" w:sz="4"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2021" w:type="dxa"/>
            <w:gridSpan w:val="2"/>
            <w:vMerge/>
            <w:tcBorders>
              <w:top w:val="single" w:sz="4" w:space="0" w:color="000000"/>
              <w:left w:val="nil"/>
              <w:bottom w:val="single" w:sz="12" w:space="0" w:color="000000"/>
              <w:right w:val="single" w:sz="4"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c>
          <w:tcPr>
            <w:tcW w:w="5259" w:type="dxa"/>
            <w:tcBorders>
              <w:top w:val="single" w:sz="4" w:space="0" w:color="000000"/>
              <w:left w:val="nil"/>
              <w:bottom w:val="single" w:sz="12" w:space="0" w:color="000000"/>
              <w:right w:val="single" w:sz="4" w:space="0" w:color="000000"/>
            </w:tcBorders>
            <w:tcMar>
              <w:top w:w="15" w:type="dxa"/>
              <w:left w:w="15" w:type="dxa"/>
              <w:right w:w="15" w:type="dxa"/>
            </w:tcMar>
            <w:vAlign w:val="center"/>
          </w:tcPr>
          <w:p w:rsidR="000B0109" w:rsidRDefault="000B0109" w:rsidP="00557206">
            <w:pPr>
              <w:widowControl/>
              <w:spacing w:line="400" w:lineRule="exact"/>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其他好的建设管理做法、经验被省级推广加2分。</w:t>
            </w:r>
          </w:p>
        </w:tc>
        <w:tc>
          <w:tcPr>
            <w:tcW w:w="1215" w:type="dxa"/>
            <w:tcBorders>
              <w:top w:val="single" w:sz="4" w:space="0" w:color="000000"/>
              <w:left w:val="single" w:sz="4" w:space="0" w:color="000000"/>
              <w:bottom w:val="single" w:sz="12" w:space="0" w:color="000000"/>
              <w:right w:val="single" w:sz="12" w:space="0" w:color="000000"/>
            </w:tcBorders>
            <w:tcMar>
              <w:top w:w="15" w:type="dxa"/>
              <w:left w:w="15" w:type="dxa"/>
              <w:right w:w="15" w:type="dxa"/>
            </w:tcMar>
            <w:vAlign w:val="center"/>
          </w:tcPr>
          <w:p w:rsidR="000B0109" w:rsidRDefault="000B0109" w:rsidP="00557206">
            <w:pPr>
              <w:spacing w:line="400" w:lineRule="exact"/>
              <w:jc w:val="center"/>
              <w:rPr>
                <w:rFonts w:ascii="宋体" w:hAnsi="宋体" w:cs="宋体" w:hint="eastAsia"/>
                <w:color w:val="000000"/>
                <w:sz w:val="20"/>
                <w:szCs w:val="20"/>
              </w:rPr>
            </w:pPr>
          </w:p>
        </w:tc>
      </w:tr>
    </w:tbl>
    <w:p w:rsidR="000B0109" w:rsidRDefault="000B0109" w:rsidP="000B0109">
      <w:pPr>
        <w:pStyle w:val="a3"/>
        <w:ind w:firstLineChars="0" w:firstLine="0"/>
        <w:rPr>
          <w:rFonts w:hint="eastAsia"/>
        </w:rPr>
      </w:pPr>
    </w:p>
    <w:p w:rsidR="00641E3B" w:rsidRPr="000B0109" w:rsidRDefault="00641E3B">
      <w:bookmarkStart w:id="0" w:name="_GoBack"/>
      <w:bookmarkEnd w:id="0"/>
    </w:p>
    <w:sectPr w:rsidR="00641E3B" w:rsidRPr="000B0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B1E4F2"/>
    <w:multiLevelType w:val="singleLevel"/>
    <w:tmpl w:val="9EB1E4F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09"/>
    <w:rsid w:val="000B0109"/>
    <w:rsid w:val="00641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E9B39-151A-4B67-93EA-3BBB28FE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B010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rsid w:val="000B0109"/>
    <w:rPr>
      <w:rFonts w:ascii="宋体" w:eastAsia="宋体" w:hAnsi="宋体" w:cs="宋体" w:hint="eastAsia"/>
      <w:color w:val="000000"/>
      <w:sz w:val="20"/>
      <w:szCs w:val="20"/>
      <w:u w:val="none"/>
    </w:rPr>
  </w:style>
  <w:style w:type="character" w:customStyle="1" w:styleId="font01">
    <w:name w:val="font01"/>
    <w:basedOn w:val="a0"/>
    <w:rsid w:val="000B0109"/>
    <w:rPr>
      <w:rFonts w:ascii="宋体" w:eastAsia="宋体" w:hAnsi="宋体" w:cs="宋体" w:hint="eastAsia"/>
      <w:b/>
      <w:color w:val="000000"/>
      <w:sz w:val="20"/>
      <w:szCs w:val="20"/>
      <w:u w:val="none"/>
    </w:rPr>
  </w:style>
  <w:style w:type="character" w:customStyle="1" w:styleId="font41">
    <w:name w:val="font41"/>
    <w:basedOn w:val="a0"/>
    <w:rsid w:val="000B0109"/>
    <w:rPr>
      <w:rFonts w:ascii="宋体" w:eastAsia="宋体" w:hAnsi="宋体" w:cs="宋体" w:hint="eastAsia"/>
      <w:color w:val="FF0000"/>
      <w:sz w:val="20"/>
      <w:szCs w:val="20"/>
      <w:u w:val="none"/>
    </w:rPr>
  </w:style>
  <w:style w:type="paragraph" w:customStyle="1" w:styleId="a3">
    <w:name w:val="公文正文"/>
    <w:rsid w:val="000B0109"/>
    <w:pPr>
      <w:ind w:firstLineChars="200" w:firstLine="200"/>
    </w:pPr>
    <w:rPr>
      <w:rFonts w:ascii="仿宋_GB2312" w:eastAsia="仿宋_GB2312" w:hAnsi="仿宋_GB2312"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馒头 馒头</dc:creator>
  <cp:keywords/>
  <dc:description/>
  <cp:lastModifiedBy>馒头 馒头</cp:lastModifiedBy>
  <cp:revision>1</cp:revision>
  <dcterms:created xsi:type="dcterms:W3CDTF">2019-10-08T06:55:00Z</dcterms:created>
  <dcterms:modified xsi:type="dcterms:W3CDTF">2019-10-08T06:55:00Z</dcterms:modified>
</cp:coreProperties>
</file>