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附件2</w:t>
      </w:r>
    </w:p>
    <w:p>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黑体_GBK" w:hAnsi="方正黑体_GBK" w:eastAsia="方正黑体_GBK" w:cs="方正黑体_GBK"/>
          <w:bCs/>
          <w:sz w:val="44"/>
          <w:szCs w:val="44"/>
          <w:lang w:val="en-US" w:eastAsia="zh-CN"/>
        </w:rPr>
      </w:pPr>
      <w:r>
        <w:rPr>
          <w:rFonts w:hint="eastAsia" w:ascii="方正黑体_GBK" w:hAnsi="方正黑体_GBK" w:eastAsia="方正黑体_GBK" w:cs="方正黑体_GBK"/>
          <w:bCs/>
          <w:sz w:val="44"/>
          <w:szCs w:val="44"/>
          <w:lang w:val="en-US" w:eastAsia="zh-CN"/>
        </w:rPr>
        <w:t>项目服务内容要求</w:t>
      </w:r>
    </w:p>
    <w:p>
      <w:pPr>
        <w:pStyle w:val="2"/>
        <w:keepNext w:val="0"/>
        <w:keepLines w:val="0"/>
        <w:pageBreakBefore w:val="0"/>
        <w:widowControl w:val="0"/>
        <w:kinsoku/>
        <w:wordWrap/>
        <w:overflowPunct/>
        <w:topLinePunct w:val="0"/>
        <w:autoSpaceDE/>
        <w:autoSpaceDN/>
        <w:bidi w:val="0"/>
        <w:spacing w:line="500" w:lineRule="exact"/>
        <w:jc w:val="left"/>
        <w:textAlignment w:val="auto"/>
      </w:pPr>
    </w:p>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一、主要研究内容</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泉州港进出港、靠离泊等典型引航场景，融合引航业务、船舶参数、气象水文、航道泊位、拖轮配置等多源数据，构建动态风险评估模型和分级预警机制，研发智能引航辅助模块，实现风险识别、实时预警与提出针对性建议和措施。</w:t>
      </w:r>
    </w:p>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二、考核目标</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多源数据融合与引航动态风险评估模型1套，研发智能引航辅助模块1套，该模块结合泉州港引航站引航业务信息可视化平台形成分级预警规则库和示范应用报告，完成不少于5个典型案例验证，申请软件著作权1项，发表论文2篇。</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Cs/>
          <w:sz w:val="32"/>
          <w:szCs w:val="32"/>
          <w:lang w:eastAsia="zh-CN"/>
        </w:rPr>
        <w:t>三、创新点、研究成果和知识产权</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1.创新点</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面向泉州港典型引航场景的多源数据融合体系。项目将引航业务数据、船舶参数、气象水文、潮汐流场、航道地形、泊位状态、拖轮配置、历史引航案例等多源数据进行统一接入、清洗、标准化和关联分析，突破传统引航作业中数据分散、信息割裂、经验判断为主的局限，为智能引航辅助决策提供可靠数据基础。</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面向船舶进出港、靠离泊全过程的动态风险评估模型。项目围绕泉州港船舶进港和出港通过重点航段及复杂气象水文条件下作业等典型场景，综合考虑风速风向、流速流向、潮汐窗口、航道水深、航道宽度、船舶尺度、吃水、设备状态、交通密度、拖轮配置、引航员经验等因素，构建可量化、可计算、可解释的动态风险评估模型。</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风险识别—分级评估—智能预警—辅助决策建议”的闭环管理机制。项目不只输出风险等级，还将风险评估结果与引航计划、排班调度、拖轮配置、航道管控、靠离泊时机选择和应急准备等业务环节联动，实现由单点风险判断向全过程风险防控转变。</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发智能引航辅助与风险预警模块，实现风险识别、实时预警与辅助决策建议。系统自动计算单项风险值和综合风险等级，识别主要风险来源，生成分级预警信息和辅助决策建议，并将结果推送至引航计划、排班调度、拖轮配置和安全风险研判等业务环节。</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成果和知识产权</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智能引航辅助与风险预警模块1套；项目研究总报告1份；申请计算机软件著作权1项；发表或录用论文2篇。</w:t>
      </w:r>
    </w:p>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四、研究目的、用途和意义</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港口船舶大型化、通航密集化和船港协同智能化水平不断提升，传统主要依靠引航员经验判断的作业模式，已难以完全适应复杂水域精细化安全管理和高效率港口运行需求。泉州港作为福建省重要沿海港口，船舶进出港、靠离泊、通过重点航段等作业受风速、流场、潮汐、航道条件、泊位状态、拖轮配置和船舶操纵性能等因素影响明显，引航作业安全风险防控压力较大。</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智能航运2030行动计划》明确提出，要强化港口航道智能化技术与核心装备科研攻关，加快智能引航、智能靠离泊等船港协同关键技术研发，开展应用试点赋能。福建省“十五五”现代综合交通运输体系规划提出，依托泉州港试点载体，探索无人机航道巡航、智能引航辅助等技术攻关与示范应用。省交通科技计划项目申报指南也将智能引航、船舶自主靠离泊等核心作业能力提升列为重点支持方向。因此，开展基于多源数据融合与动态风险评估的智能引航辅助技术研究，符合国家智能航运发展方向、福建省综合交通运输体系建设需求和泉州港智能化升级实际需要。</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中心引航站已建成引航业务信息可视化平台，实现了引航生产、排班调度、引航员接送、拖轮配置、费用结算等全流程管理，为智能引航辅助技术研发提供了较好的信息化基础。但从实际业务看，现有平台更多侧重业务流程管理和信息可视化展示，对复杂环境条件下的风险动态识别、风险等级评估、预警推送和辅助决策建议支撑仍有提升空间。引航员在制定引航方案、判断靠离泊时机、协调拖轮配置和处置突发风险时，仍较多依赖个人经验和现场判断。</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拟面向泉州港进出港、靠离泊等典型引航场景，围绕“多源数据融合、动态风险评估、智能预警、辅助决策”开展技术研究和系统开发。项目通过融合引航业务数据、船舶参数数据、气象水文数据、潮汐流场数据、航道泊位数据、拖轮配置数据和历史案例数据，建立统一的数据管理体系和动态风险评估模型，实现引航风险提前识别、实时研判、分级预警和辅助决策建议，为引航计划制定、靠离泊窗口选择、拖轮配置优化、重点船舶管控和应急准备提供辅助决策支撑。</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后，将推动引航作业由经验驱动与数据驱动结合，由事后处置向事前预防转变，由单一人工判断向人机协同决策转变，有助于提升泉州港引航作业安全水平、运行效率和风险防控能力。项目成果可支撑泉州港智能航运示范建设，形成可落地、可复用、可推广的智能引航辅助技术体系，对完善福建沿海港口智能引航和船港协同安全保障体系具有重要现实意义。</w:t>
      </w:r>
    </w:p>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五、成果验收时的技术文件和考核指标</w:t>
      </w:r>
    </w:p>
    <w:p>
      <w:pPr>
        <w:keepNext w:val="0"/>
        <w:keepLines w:val="0"/>
        <w:pageBreakBefore w:val="0"/>
        <w:widowControl w:val="0"/>
        <w:kinsoku/>
        <w:wordWrap/>
        <w:overflowPunct/>
        <w:topLinePunct w:val="0"/>
        <w:autoSpaceDE/>
        <w:autoSpaceDN/>
        <w:bidi w:val="0"/>
        <w:adjustRightInd w:val="0"/>
        <w:snapToGrid w:val="0"/>
        <w:spacing w:line="500" w:lineRule="exact"/>
        <w:ind w:firstLine="642" w:firstLineChars="200"/>
        <w:jc w:val="left"/>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（一）技术文件清单</w:t>
      </w:r>
    </w:p>
    <w:tbl>
      <w:tblPr>
        <w:tblStyle w:val="10"/>
        <w:tblW w:w="90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keepNext w:val="0"/>
              <w:keepLines w:val="0"/>
              <w:pageBreakBefore w:val="0"/>
              <w:widowControl w:val="0"/>
              <w:kinsoku/>
              <w:wordWrap/>
              <w:overflowPunct/>
              <w:topLinePunct w:val="0"/>
              <w:autoSpaceDE/>
              <w:autoSpaceDN/>
              <w:bidi w:val="0"/>
              <w:spacing w:line="500" w:lineRule="exact"/>
              <w:jc w:val="left"/>
              <w:textAlignment w:val="auto"/>
              <w:rPr>
                <w:rFonts w:ascii="宋体" w:hAnsi="宋体" w:cs="宋体"/>
                <w:bCs/>
                <w:sz w:val="24"/>
              </w:rPr>
            </w:pPr>
            <w:r>
              <w:rPr>
                <w:rFonts w:hint="eastAsia" w:ascii="宋体" w:hAnsi="宋体" w:cs="宋体"/>
                <w:bCs/>
                <w:sz w:val="24"/>
              </w:rPr>
              <w:t>序号</w:t>
            </w:r>
          </w:p>
        </w:tc>
        <w:tc>
          <w:tcPr>
            <w:tcW w:w="7950" w:type="dxa"/>
            <w:vAlign w:val="center"/>
          </w:tcPr>
          <w:p>
            <w:pPr>
              <w:keepNext w:val="0"/>
              <w:keepLines w:val="0"/>
              <w:pageBreakBefore w:val="0"/>
              <w:widowControl w:val="0"/>
              <w:kinsoku/>
              <w:wordWrap/>
              <w:overflowPunct/>
              <w:topLinePunct w:val="0"/>
              <w:autoSpaceDE/>
              <w:autoSpaceDN/>
              <w:bidi w:val="0"/>
              <w:spacing w:line="500" w:lineRule="exact"/>
              <w:ind w:firstLine="2640" w:firstLineChars="1100"/>
              <w:jc w:val="left"/>
              <w:textAlignment w:val="auto"/>
              <w:rPr>
                <w:rFonts w:ascii="宋体" w:hAnsi="宋体" w:cs="宋体"/>
                <w:bCs/>
                <w:sz w:val="24"/>
              </w:rPr>
            </w:pPr>
            <w:r>
              <w:rPr>
                <w:rFonts w:hint="eastAsia" w:ascii="宋体" w:hAnsi="宋体" w:cs="宋体"/>
                <w:bCs/>
                <w:sz w:val="24"/>
              </w:rPr>
              <w:t>技术文件名称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1</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项目研究总报告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2</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泉州港智能引航辅助需求分析报告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3</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典型进港风险因子体系报告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4</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引航动态风险评估模型研究报告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5</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软件著作权登记材料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pPr>
              <w:pStyle w:val="2"/>
              <w:keepNext w:val="0"/>
              <w:keepLines w:val="0"/>
              <w:pageBreakBefore w:val="0"/>
              <w:widowControl w:val="0"/>
              <w:kinsoku/>
              <w:wordWrap/>
              <w:overflowPunct/>
              <w:topLinePunct w:val="0"/>
              <w:autoSpaceDE/>
              <w:autoSpaceDN/>
              <w:bidi w:val="0"/>
              <w:spacing w:line="500" w:lineRule="exact"/>
              <w:ind w:firstLineChars="200"/>
              <w:jc w:val="left"/>
              <w:textAlignment w:val="auto"/>
            </w:pPr>
            <w:r>
              <w:rPr>
                <w:rFonts w:hint="eastAsia"/>
              </w:rPr>
              <w:t>6</w:t>
            </w:r>
          </w:p>
        </w:tc>
        <w:tc>
          <w:tcPr>
            <w:tcW w:w="7950" w:type="dxa"/>
            <w:vAlign w:val="center"/>
          </w:tcPr>
          <w:p>
            <w:pPr>
              <w:keepNext w:val="0"/>
              <w:keepLines w:val="0"/>
              <w:pageBreakBefore w:val="0"/>
              <w:widowControl w:val="0"/>
              <w:kinsoku/>
              <w:wordWrap/>
              <w:overflowPunct/>
              <w:topLinePunct w:val="0"/>
              <w:autoSpaceDE/>
              <w:autoSpaceDN/>
              <w:bidi w:val="0"/>
              <w:snapToGrid w:val="0"/>
              <w:spacing w:line="500" w:lineRule="exact"/>
              <w:jc w:val="left"/>
              <w:textAlignment w:val="auto"/>
              <w:rPr>
                <w:rFonts w:ascii="楷体" w:hAnsi="楷体" w:eastAsia="楷体" w:cs="宋体"/>
                <w:sz w:val="24"/>
              </w:rPr>
            </w:pPr>
            <w:r>
              <w:rPr>
                <w:rFonts w:hint="eastAsia" w:ascii="楷体" w:hAnsi="楷体" w:eastAsia="楷体" w:cs="宋体"/>
                <w:sz w:val="24"/>
              </w:rPr>
              <w:t>项目验收总结报告</w:t>
            </w:r>
          </w:p>
        </w:tc>
      </w:tr>
    </w:tbl>
    <w:p>
      <w:pPr>
        <w:keepNext w:val="0"/>
        <w:keepLines w:val="0"/>
        <w:pageBreakBefore w:val="0"/>
        <w:widowControl w:val="0"/>
        <w:kinsoku/>
        <w:wordWrap/>
        <w:overflowPunct/>
        <w:topLinePunct w:val="0"/>
        <w:autoSpaceDE/>
        <w:autoSpaceDN/>
        <w:bidi w:val="0"/>
        <w:spacing w:line="500" w:lineRule="exact"/>
        <w:ind w:firstLine="642" w:firstLineChars="200"/>
        <w:jc w:val="left"/>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（二）主要技术指标</w:t>
      </w:r>
    </w:p>
    <w:tbl>
      <w:tblPr>
        <w:tblStyle w:val="10"/>
        <w:tblW w:w="9030" w:type="dxa"/>
        <w:tblInd w:w="108" w:type="dxa"/>
        <w:tblLayout w:type="fixed"/>
        <w:tblCellMar>
          <w:top w:w="0" w:type="dxa"/>
          <w:left w:w="108" w:type="dxa"/>
          <w:bottom w:w="0" w:type="dxa"/>
          <w:right w:w="108" w:type="dxa"/>
        </w:tblCellMar>
      </w:tblPr>
      <w:tblGrid>
        <w:gridCol w:w="9030"/>
      </w:tblGrid>
      <w:tr>
        <w:tblPrEx>
          <w:tblCellMar>
            <w:top w:w="0" w:type="dxa"/>
            <w:left w:w="108" w:type="dxa"/>
            <w:bottom w:w="0" w:type="dxa"/>
            <w:right w:w="108" w:type="dxa"/>
          </w:tblCellMar>
        </w:tblPrEx>
        <w:trPr>
          <w:cantSplit/>
          <w:trHeight w:val="716" w:hRule="atLeast"/>
        </w:trPr>
        <w:tc>
          <w:tcPr>
            <w:tcW w:w="9030" w:type="dxa"/>
            <w:tcBorders>
              <w:top w:val="single" w:color="auto" w:sz="4" w:space="0"/>
              <w:left w:val="single" w:color="auto" w:sz="4" w:space="0"/>
              <w:right w:val="single" w:color="auto" w:sz="4" w:space="0"/>
            </w:tcBorders>
          </w:tcPr>
          <w:p>
            <w:pPr>
              <w:pStyle w:val="17"/>
              <w:keepNext w:val="0"/>
              <w:keepLines w:val="0"/>
              <w:pageBreakBefore w:val="0"/>
              <w:widowControl w:val="0"/>
              <w:numPr>
                <w:ilvl w:val="0"/>
                <w:numId w:val="0"/>
              </w:numPr>
              <w:kinsoku/>
              <w:wordWrap/>
              <w:overflowPunct/>
              <w:topLinePunct w:val="0"/>
              <w:autoSpaceDE/>
              <w:autoSpaceDN/>
              <w:bidi w:val="0"/>
              <w:snapToGrid w:val="0"/>
              <w:spacing w:line="500" w:lineRule="exact"/>
              <w:ind w:leftChars="0"/>
              <w:jc w:val="left"/>
              <w:textAlignment w:val="auto"/>
              <w:rPr>
                <w:rFonts w:ascii="楷体" w:hAnsi="楷体" w:eastAsia="楷体" w:cs="宋体"/>
                <w:sz w:val="24"/>
              </w:rPr>
            </w:pPr>
            <w:r>
              <w:rPr>
                <w:rFonts w:hint="eastAsia" w:ascii="楷体" w:hAnsi="楷体" w:eastAsia="楷体" w:cs="宋体"/>
                <w:sz w:val="24"/>
                <w:lang w:eastAsia="zh-CN"/>
              </w:rPr>
              <w:t>（</w:t>
            </w:r>
            <w:r>
              <w:rPr>
                <w:rFonts w:hint="eastAsia" w:ascii="楷体" w:hAnsi="楷体" w:eastAsia="楷体" w:cs="宋体"/>
                <w:sz w:val="24"/>
                <w:lang w:val="en-US" w:eastAsia="zh-CN"/>
              </w:rPr>
              <w:t>1</w:t>
            </w:r>
            <w:r>
              <w:rPr>
                <w:rFonts w:hint="eastAsia" w:ascii="楷体" w:hAnsi="楷体" w:eastAsia="楷体" w:cs="宋体"/>
                <w:sz w:val="24"/>
                <w:lang w:eastAsia="zh-CN"/>
              </w:rPr>
              <w:t>）</w:t>
            </w:r>
            <w:r>
              <w:rPr>
                <w:rFonts w:hint="eastAsia" w:ascii="楷体" w:hAnsi="楷体" w:eastAsia="楷体" w:cs="宋体"/>
                <w:sz w:val="24"/>
              </w:rPr>
              <w:t>建立多源数据需求方案1份，覆盖引航业务、船舶参数、气象水文、潮汐流场、航道泊位、拖轮配置数据类型。</w:t>
            </w:r>
          </w:p>
          <w:p>
            <w:pPr>
              <w:pStyle w:val="17"/>
              <w:keepNext w:val="0"/>
              <w:keepLines w:val="0"/>
              <w:pageBreakBefore w:val="0"/>
              <w:widowControl w:val="0"/>
              <w:numPr>
                <w:ilvl w:val="0"/>
                <w:numId w:val="0"/>
              </w:numPr>
              <w:kinsoku/>
              <w:wordWrap/>
              <w:overflowPunct/>
              <w:topLinePunct w:val="0"/>
              <w:autoSpaceDE/>
              <w:autoSpaceDN/>
              <w:bidi w:val="0"/>
              <w:snapToGrid w:val="0"/>
              <w:spacing w:line="500" w:lineRule="exact"/>
              <w:ind w:leftChars="0"/>
              <w:jc w:val="left"/>
              <w:textAlignment w:val="auto"/>
              <w:rPr>
                <w:rFonts w:ascii="楷体" w:hAnsi="楷体" w:eastAsia="楷体" w:cs="宋体"/>
                <w:sz w:val="24"/>
              </w:rPr>
            </w:pPr>
            <w:r>
              <w:rPr>
                <w:rFonts w:hint="eastAsia" w:ascii="楷体" w:hAnsi="楷体" w:eastAsia="楷体" w:cs="宋体"/>
                <w:sz w:val="24"/>
                <w:lang w:eastAsia="zh-CN"/>
              </w:rPr>
              <w:t>（</w:t>
            </w:r>
            <w:r>
              <w:rPr>
                <w:rFonts w:hint="eastAsia" w:ascii="楷体" w:hAnsi="楷体" w:eastAsia="楷体" w:cs="宋体"/>
                <w:sz w:val="24"/>
                <w:lang w:val="en-US" w:eastAsia="zh-CN"/>
              </w:rPr>
              <w:t>2</w:t>
            </w:r>
            <w:r>
              <w:rPr>
                <w:rFonts w:hint="eastAsia" w:ascii="楷体" w:hAnsi="楷体" w:eastAsia="楷体" w:cs="宋体"/>
                <w:sz w:val="24"/>
                <w:lang w:eastAsia="zh-CN"/>
              </w:rPr>
              <w:t>）</w:t>
            </w:r>
            <w:r>
              <w:rPr>
                <w:rFonts w:hint="eastAsia" w:ascii="楷体" w:hAnsi="楷体" w:eastAsia="楷体" w:cs="宋体"/>
                <w:sz w:val="24"/>
              </w:rPr>
              <w:t>研发智能引航辅助功能模块1套，具备数据接入、风险计算、预警推送、辅助决策、可视化展示、历史归档和报告导出等功能。</w:t>
            </w:r>
          </w:p>
          <w:p>
            <w:pPr>
              <w:pStyle w:val="17"/>
              <w:keepNext w:val="0"/>
              <w:keepLines w:val="0"/>
              <w:pageBreakBefore w:val="0"/>
              <w:widowControl w:val="0"/>
              <w:numPr>
                <w:ilvl w:val="0"/>
                <w:numId w:val="0"/>
              </w:numPr>
              <w:kinsoku/>
              <w:wordWrap/>
              <w:overflowPunct/>
              <w:topLinePunct w:val="0"/>
              <w:autoSpaceDE/>
              <w:autoSpaceDN/>
              <w:bidi w:val="0"/>
              <w:snapToGrid w:val="0"/>
              <w:spacing w:line="500" w:lineRule="exact"/>
              <w:ind w:leftChars="0"/>
              <w:jc w:val="left"/>
              <w:textAlignment w:val="auto"/>
              <w:rPr>
                <w:rFonts w:ascii="楷体" w:hAnsi="楷体" w:eastAsia="楷体" w:cs="宋体"/>
                <w:sz w:val="24"/>
              </w:rPr>
            </w:pPr>
            <w:r>
              <w:rPr>
                <w:rFonts w:hint="eastAsia" w:ascii="楷体" w:hAnsi="楷体" w:eastAsia="楷体" w:cs="宋体"/>
                <w:sz w:val="24"/>
                <w:lang w:eastAsia="zh-CN"/>
              </w:rPr>
              <w:t>（</w:t>
            </w:r>
            <w:r>
              <w:rPr>
                <w:rFonts w:hint="eastAsia" w:ascii="楷体" w:hAnsi="楷体" w:eastAsia="楷体" w:cs="宋体"/>
                <w:sz w:val="24"/>
                <w:lang w:val="en-US" w:eastAsia="zh-CN"/>
              </w:rPr>
              <w:t>3</w:t>
            </w:r>
            <w:r>
              <w:rPr>
                <w:rFonts w:hint="eastAsia" w:ascii="楷体" w:hAnsi="楷体" w:eastAsia="楷体" w:cs="宋体"/>
                <w:sz w:val="24"/>
                <w:lang w:eastAsia="zh-CN"/>
              </w:rPr>
              <w:t>）</w:t>
            </w:r>
            <w:r>
              <w:rPr>
                <w:rFonts w:hint="eastAsia" w:ascii="楷体" w:hAnsi="楷体" w:eastAsia="楷体" w:cs="宋体"/>
                <w:sz w:val="24"/>
              </w:rPr>
              <w:t>完成不少于5个典型进港引航案例测试验证。</w:t>
            </w:r>
          </w:p>
        </w:tc>
      </w:tr>
      <w:tr>
        <w:tblPrEx>
          <w:tblCellMar>
            <w:top w:w="0" w:type="dxa"/>
            <w:left w:w="108" w:type="dxa"/>
            <w:bottom w:w="0" w:type="dxa"/>
            <w:right w:w="108" w:type="dxa"/>
          </w:tblCellMar>
        </w:tblPrEx>
        <w:trPr>
          <w:cantSplit/>
          <w:trHeight w:val="850" w:hRule="atLeast"/>
        </w:trPr>
        <w:tc>
          <w:tcPr>
            <w:tcW w:w="9030" w:type="dxa"/>
            <w:tcBorders>
              <w:left w:val="single" w:color="auto" w:sz="4" w:space="0"/>
              <w:bottom w:val="single" w:color="auto" w:sz="4" w:space="0"/>
              <w:right w:val="single" w:color="auto" w:sz="4" w:space="0"/>
            </w:tcBorders>
          </w:tcPr>
          <w:p>
            <w:pPr>
              <w:pStyle w:val="17"/>
              <w:keepNext w:val="0"/>
              <w:keepLines w:val="0"/>
              <w:pageBreakBefore w:val="0"/>
              <w:widowControl w:val="0"/>
              <w:numPr>
                <w:ilvl w:val="0"/>
                <w:numId w:val="0"/>
              </w:numPr>
              <w:kinsoku/>
              <w:wordWrap/>
              <w:overflowPunct/>
              <w:topLinePunct w:val="0"/>
              <w:autoSpaceDE/>
              <w:autoSpaceDN/>
              <w:bidi w:val="0"/>
              <w:snapToGrid w:val="0"/>
              <w:spacing w:line="500" w:lineRule="exact"/>
              <w:ind w:leftChars="0"/>
              <w:jc w:val="left"/>
              <w:textAlignment w:val="auto"/>
              <w:rPr>
                <w:rFonts w:ascii="楷体" w:hAnsi="楷体" w:eastAsia="楷体" w:cs="宋体"/>
                <w:sz w:val="24"/>
              </w:rPr>
            </w:pPr>
            <w:r>
              <w:rPr>
                <w:rFonts w:hint="eastAsia" w:ascii="楷体" w:hAnsi="楷体" w:eastAsia="楷体" w:cs="宋体"/>
                <w:sz w:val="24"/>
                <w:lang w:eastAsia="zh-CN"/>
              </w:rPr>
              <w:t>（</w:t>
            </w:r>
            <w:r>
              <w:rPr>
                <w:rFonts w:hint="eastAsia" w:ascii="楷体" w:hAnsi="楷体" w:eastAsia="楷体" w:cs="宋体"/>
                <w:sz w:val="24"/>
                <w:lang w:val="en-US" w:eastAsia="zh-CN"/>
              </w:rPr>
              <w:t>4</w:t>
            </w:r>
            <w:r>
              <w:rPr>
                <w:rFonts w:hint="eastAsia" w:ascii="楷体" w:hAnsi="楷体" w:eastAsia="楷体" w:cs="宋体"/>
                <w:sz w:val="24"/>
                <w:lang w:eastAsia="zh-CN"/>
              </w:rPr>
              <w:t>）</w:t>
            </w:r>
            <w:r>
              <w:rPr>
                <w:rFonts w:hint="eastAsia" w:ascii="楷体" w:hAnsi="楷体" w:eastAsia="楷体" w:cs="宋体"/>
                <w:sz w:val="24"/>
              </w:rPr>
              <w:t>专利：取得计算机软件著作权1项。</w:t>
            </w:r>
          </w:p>
          <w:p>
            <w:pPr>
              <w:pStyle w:val="17"/>
              <w:keepNext w:val="0"/>
              <w:keepLines w:val="0"/>
              <w:pageBreakBefore w:val="0"/>
              <w:widowControl w:val="0"/>
              <w:numPr>
                <w:ilvl w:val="0"/>
                <w:numId w:val="0"/>
              </w:numPr>
              <w:kinsoku/>
              <w:wordWrap/>
              <w:overflowPunct/>
              <w:topLinePunct w:val="0"/>
              <w:autoSpaceDE/>
              <w:autoSpaceDN/>
              <w:bidi w:val="0"/>
              <w:snapToGrid w:val="0"/>
              <w:spacing w:line="500" w:lineRule="exact"/>
              <w:ind w:leftChars="0"/>
              <w:jc w:val="left"/>
              <w:textAlignment w:val="auto"/>
              <w:rPr>
                <w:rFonts w:hint="eastAsia" w:ascii="楷体" w:hAnsi="楷体" w:eastAsia="楷体" w:cs="宋体"/>
                <w:sz w:val="24"/>
              </w:rPr>
            </w:pPr>
            <w:r>
              <w:rPr>
                <w:rFonts w:hint="eastAsia" w:ascii="楷体" w:hAnsi="楷体" w:eastAsia="楷体" w:cs="宋体"/>
                <w:sz w:val="24"/>
                <w:lang w:eastAsia="zh-CN"/>
              </w:rPr>
              <w:t>（</w:t>
            </w:r>
            <w:r>
              <w:rPr>
                <w:rFonts w:hint="eastAsia" w:ascii="楷体" w:hAnsi="楷体" w:eastAsia="楷体" w:cs="宋体"/>
                <w:sz w:val="24"/>
                <w:lang w:val="en-US" w:eastAsia="zh-CN"/>
              </w:rPr>
              <w:t>5</w:t>
            </w:r>
            <w:r>
              <w:rPr>
                <w:rFonts w:hint="eastAsia" w:ascii="楷体" w:hAnsi="楷体" w:eastAsia="楷体" w:cs="宋体"/>
                <w:sz w:val="24"/>
                <w:lang w:eastAsia="zh-CN"/>
              </w:rPr>
              <w:t>）</w:t>
            </w:r>
            <w:r>
              <w:rPr>
                <w:rFonts w:hint="eastAsia" w:ascii="楷体" w:hAnsi="楷体" w:eastAsia="楷体" w:cs="宋体"/>
                <w:sz w:val="24"/>
              </w:rPr>
              <w:t>发表论文：普通期刊及以上论文2篇或以上。</w:t>
            </w:r>
          </w:p>
        </w:tc>
      </w:tr>
    </w:tbl>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六、计划进度要求</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项目计划周期为15个月，分三个阶段实施。</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第一阶段：需求调研与数据梳理</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月—2026年12月</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任务：开展项目启动和需求调研，梳理泉州港引航业务流程、现有信息化平台功能、典型引航场景、数据资源和风险管理需求。收集引航业务、船舶参数、气象水文、航道泊位、拖轮配置和历史案例等数据，完成航道基础数据收集和标准化，并形成项目需求分析和数据清单。</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阶段成果：完成《泉州港智能引航辅助需求分析报告》；形成多源数据目录和数据标准化初步方案；完成系统总体设计方案；并形成论文1初稿并投稿。</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第二阶段：风险模型与预警规则构建</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时间：2027年1月—2027年6月</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主要任务：构建典型引航场景库和风险指标体系，确定风险因子、评价函数、权重方法和风险等级阈值。建立分级预警规则和辅助决策建议库，形成动态风险评估模型。</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阶段成果：形成分级预警规则库和辅助决策建议库；并形成论文2初稿并投稿。</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第三阶段：模块开发</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时间：2027年7月—2027年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主要任务：开发智能引航辅助功能模块，实现数据接入、风险计算、预警推送、辅助决策、可视化展示、历史归档和报告导出等功能。开展系统内部测试和功能优化。</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阶段成果：完成智能引航辅助模块初版；启动软件著作权申请。</w:t>
      </w:r>
    </w:p>
    <w:p>
      <w:pPr>
        <w:keepNext w:val="0"/>
        <w:keepLines w:val="0"/>
        <w:pageBreakBefore w:val="0"/>
        <w:widowControl w:val="0"/>
        <w:kinsoku/>
        <w:wordWrap/>
        <w:overflowPunct/>
        <w:topLinePunct w:val="0"/>
        <w:autoSpaceDE/>
        <w:autoSpaceDN/>
        <w:bidi w:val="0"/>
        <w:spacing w:line="500" w:lineRule="exact"/>
        <w:ind w:firstLine="640" w:firstLineChars="200"/>
        <w:jc w:val="left"/>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七</w:t>
      </w:r>
      <w:r>
        <w:rPr>
          <w:rFonts w:hint="eastAsia" w:ascii="黑体" w:hAnsi="黑体" w:eastAsia="黑体" w:cs="黑体"/>
          <w:bCs/>
          <w:sz w:val="32"/>
          <w:szCs w:val="32"/>
        </w:rPr>
        <w:t>、</w:t>
      </w:r>
      <w:r>
        <w:rPr>
          <w:rFonts w:hint="eastAsia" w:ascii="黑体" w:hAnsi="黑体" w:eastAsia="黑体" w:cs="黑体"/>
          <w:bCs/>
          <w:sz w:val="32"/>
          <w:szCs w:val="32"/>
          <w:lang w:eastAsia="zh-CN"/>
        </w:rPr>
        <w:t>项目</w:t>
      </w:r>
      <w:r>
        <w:rPr>
          <w:rFonts w:hint="eastAsia" w:ascii="黑体" w:hAnsi="黑体" w:eastAsia="黑体" w:cs="黑体"/>
          <w:bCs/>
          <w:sz w:val="32"/>
          <w:szCs w:val="32"/>
        </w:rPr>
        <w:t>分工</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1.泉州港引航站</w:t>
      </w:r>
      <w:bookmarkStart w:id="0" w:name="_GoBack"/>
      <w:bookmarkEnd w:id="0"/>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泉州港引航站负责项目总体组织实施、业务需求提出、数据资源协调、典型场景选择、示范应用和成果推广。</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承担以下任务：负责项目组织协调、进度管理、质量控制和验收组织；结合泉州港引航生产实际，提出智能引航辅助技术研究的业务需求、应用场景和功能要求；协调引航业务数据、历史案例、典型风险事件、排班调度、拖轮配置、引航计划等相关数据资源；选择船舶进出港、靠离泊、重点航段通过、复杂气象水文条件下作业等典型引航场景；组织资深引航员、调度人员和安全管理人员参与风险因子识别、风险规则校核、预警建议完善和系统应用评价；负责系统试运行、验证结果整理和测试报告编制；推动项目成果在泉州港引航业务中的示范应用和推广。</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第三方服务商</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负责理论模型研究、风险指标体系构建、评价算法设计和技术报告编制、航道基础数据收集，以及系统开发、平台集成、测试部署和运行维护。</w:t>
      </w:r>
    </w:p>
    <w:p>
      <w:pPr>
        <w:keepNext w:val="0"/>
        <w:keepLines w:val="0"/>
        <w:pageBreakBefore w:val="0"/>
        <w:widowControl w:val="0"/>
        <w:kinsoku/>
        <w:wordWrap/>
        <w:overflowPunct/>
        <w:topLinePunct w:val="0"/>
        <w:autoSpaceDE/>
        <w:autoSpaceDN/>
        <w:bidi w:val="0"/>
        <w:snapToGrid w:val="0"/>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承担以下任务：开展智能引航、引航风险评估、多源数据融合和动态风险预警相关理论与方法研究；结合泉州港引航作业特点，构建智能引航辅助风险指标体系，明确风险因子分类、指标含义、评价方法和数据需求；研究引航动态风险评估模型，设计风险量化方法、综合评价方法、风险分级方法和预警判定机制；参与分级预警规则和辅助决策建议库建设；配合开展专家访谈、指标权重确定、模型参数校核和典型案例分析；参与系统测试和示范应用效果评价，并根据验证结果优化风险评估模型和预警规则；技术总结报告、论文和验收材料编制。</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004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字体"/>
    <w:panose1 w:val="02010600030101010101"/>
    <w:charset w:val="86"/>
    <w:family w:val="auto"/>
    <w:pitch w:val="default"/>
    <w:sig w:usb0="00000000" w:usb1="00000000" w:usb2="00000016" w:usb3="00000000" w:csb0="0004000F" w:csb1="00000000"/>
  </w:font>
  <w:font w:name="仿宋字体">
    <w:panose1 w:val="02010600040101010101"/>
    <w:charset w:val="86"/>
    <w:family w:val="auto"/>
    <w:pitch w:val="default"/>
    <w:sig w:usb0="00000287" w:usb1="080F0000" w:usb2="00000000" w:usb3="00000000" w:csb0="0004009F" w:csb1="DFD70000"/>
  </w:font>
  <w:font w:name="方正楷体简体">
    <w:altName w:val="方正楷体_GBK"/>
    <w:panose1 w:val="00000000000000000000"/>
    <w:charset w:val="86"/>
    <w:family w:val="auto"/>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fldChar w:fldCharType="begin"/>
    </w:r>
    <w:r>
      <w:rPr>
        <w:rStyle w:val="12"/>
      </w:rPr>
      <w:instrText xml:space="preserve">PAGE  </w:instrText>
    </w:r>
    <w:r>
      <w:fldChar w:fldCharType="separate"/>
    </w:r>
    <w:r>
      <w:rPr>
        <w:rStyle w:val="12"/>
      </w:rPr>
      <w:t>6</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FFF6F32"/>
    <w:rsid w:val="56DF99EB"/>
    <w:rsid w:val="7BFB16D2"/>
    <w:rsid w:val="7FDEEC8F"/>
    <w:rsid w:val="AF5FD242"/>
    <w:rsid w:val="B3B62954"/>
    <w:rsid w:val="BAFFB00B"/>
    <w:rsid w:val="CBFE57A6"/>
    <w:rsid w:val="FBFE2BF5"/>
    <w:rsid w:val="FFFE5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3"/>
    <w:qFormat/>
    <w:uiPriority w:val="99"/>
    <w:pPr>
      <w:ind w:firstLine="420" w:firstLineChars="100"/>
    </w:pPr>
  </w:style>
  <w:style w:type="paragraph" w:styleId="3">
    <w:name w:val="Body Text"/>
    <w:basedOn w:val="1"/>
    <w:qFormat/>
    <w:uiPriority w:val="0"/>
    <w:pPr>
      <w:spacing w:after="120"/>
    </w:pPr>
  </w:style>
  <w:style w:type="paragraph" w:styleId="6">
    <w:name w:val="Normal Indent"/>
    <w:basedOn w:val="1"/>
    <w:qFormat/>
    <w:uiPriority w:val="0"/>
    <w:pPr>
      <w:ind w:firstLine="420"/>
    </w:pPr>
    <w:rPr>
      <w:szCs w:val="20"/>
    </w:rPr>
  </w:style>
  <w:style w:type="paragraph" w:styleId="7">
    <w:name w:val="annotation text"/>
    <w:basedOn w:val="1"/>
    <w:link w:val="22"/>
    <w:unhideWhenUsed/>
    <w:qFormat/>
    <w:uiPriority w:val="99"/>
    <w:pPr>
      <w:jc w:val="left"/>
    </w:pPr>
    <w:rPr>
      <w:rFonts w:ascii="等线" w:hAnsi="等线" w:eastAsia="等线"/>
      <w:szCs w:val="2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styleId="13">
    <w:name w:val="Hyperlink"/>
    <w:basedOn w:val="11"/>
    <w:qFormat/>
    <w:uiPriority w:val="0"/>
    <w:rPr>
      <w:color w:val="0000FF" w:themeColor="hyperlink"/>
      <w:u w:val="single"/>
      <w14:textFill>
        <w14:solidFill>
          <w14:schemeClr w14:val="hlink"/>
        </w14:solidFill>
      </w14:textFill>
    </w:rPr>
  </w:style>
  <w:style w:type="paragraph" w:customStyle="1" w:styleId="14">
    <w:name w:val="表格文字"/>
    <w:basedOn w:val="1"/>
    <w:qFormat/>
    <w:uiPriority w:val="0"/>
    <w:pPr>
      <w:spacing w:line="560" w:lineRule="exact"/>
      <w:jc w:val="center"/>
    </w:pPr>
    <w:rPr>
      <w:rFonts w:eastAsia="方正楷体简体"/>
      <w:sz w:val="24"/>
    </w:rPr>
  </w:style>
  <w:style w:type="paragraph" w:customStyle="1" w:styleId="15">
    <w:name w:val="p0"/>
    <w:basedOn w:val="1"/>
    <w:qFormat/>
    <w:uiPriority w:val="0"/>
    <w:pPr>
      <w:widowControl/>
    </w:pPr>
    <w:rPr>
      <w:kern w:val="0"/>
      <w:szCs w:val="21"/>
    </w:rPr>
  </w:style>
  <w:style w:type="character" w:customStyle="1" w:styleId="16">
    <w:name w:val="标题 2 字符"/>
    <w:basedOn w:val="11"/>
    <w:link w:val="4"/>
    <w:semiHidden/>
    <w:qFormat/>
    <w:uiPriority w:val="0"/>
    <w:rPr>
      <w:rFonts w:asciiTheme="majorHAnsi" w:hAnsiTheme="majorHAnsi" w:eastAsiaTheme="majorEastAsia" w:cstheme="majorBidi"/>
      <w:b/>
      <w:bCs/>
      <w:kern w:val="2"/>
      <w:sz w:val="32"/>
      <w:szCs w:val="32"/>
    </w:rPr>
  </w:style>
  <w:style w:type="paragraph" w:styleId="17">
    <w:name w:val="List Paragraph"/>
    <w:basedOn w:val="1"/>
    <w:qFormat/>
    <w:uiPriority w:val="99"/>
    <w:pPr>
      <w:ind w:firstLine="420" w:firstLineChars="200"/>
    </w:p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未处理的提及1"/>
    <w:basedOn w:val="11"/>
    <w:semiHidden/>
    <w:unhideWhenUsed/>
    <w:qFormat/>
    <w:uiPriority w:val="99"/>
    <w:rPr>
      <w:color w:val="605E5C"/>
      <w:shd w:val="clear" w:color="auto" w:fill="E1DFDD"/>
    </w:rPr>
  </w:style>
  <w:style w:type="paragraph" w:customStyle="1" w:styleId="20">
    <w:name w:val="MTDisplayEquation"/>
    <w:basedOn w:val="1"/>
    <w:next w:val="1"/>
    <w:link w:val="21"/>
    <w:qFormat/>
    <w:uiPriority w:val="0"/>
    <w:pPr>
      <w:tabs>
        <w:tab w:val="center" w:pos="4160"/>
        <w:tab w:val="right" w:pos="8300"/>
      </w:tabs>
      <w:ind w:firstLine="420" w:firstLineChars="200"/>
    </w:pPr>
    <w:rPr>
      <w:rFonts w:ascii="宋体" w:hAnsi="宋体" w:cstheme="minorBidi"/>
      <w:szCs w:val="22"/>
    </w:rPr>
  </w:style>
  <w:style w:type="character" w:customStyle="1" w:styleId="21">
    <w:name w:val="MTDisplayEquation 字符"/>
    <w:basedOn w:val="11"/>
    <w:link w:val="20"/>
    <w:qFormat/>
    <w:uiPriority w:val="0"/>
    <w:rPr>
      <w:rFonts w:ascii="宋体" w:hAnsi="宋体" w:cstheme="minorBidi"/>
      <w:kern w:val="2"/>
      <w:sz w:val="21"/>
      <w:szCs w:val="22"/>
    </w:rPr>
  </w:style>
  <w:style w:type="character" w:customStyle="1" w:styleId="22">
    <w:name w:val="批注文字 字符"/>
    <w:basedOn w:val="11"/>
    <w:link w:val="7"/>
    <w:qFormat/>
    <w:uiPriority w:val="99"/>
    <w:rPr>
      <w:rFonts w:ascii="等线" w:hAnsi="等线" w:eastAsia="等线"/>
      <w:kern w:val="2"/>
      <w:sz w:val="21"/>
      <w:szCs w:val="22"/>
    </w:rPr>
  </w:style>
  <w:style w:type="character" w:customStyle="1" w:styleId="23">
    <w:name w:val="正文文本首行缩进 字符"/>
    <w:basedOn w:val="11"/>
    <w:link w:val="2"/>
    <w:qFormat/>
    <w:uiPriority w:val="99"/>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2359</Words>
  <Characters>13450</Characters>
  <Lines>112</Lines>
  <Paragraphs>31</Paragraphs>
  <TotalTime>7</TotalTime>
  <ScaleCrop>false</ScaleCrop>
  <LinksUpToDate>false</LinksUpToDate>
  <CharactersWithSpaces>15778</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2026-05-17T10:58:00Z</dcterms:created>
  <dc:creator>谢禹</dc:creator>
  <cp:lastModifiedBy>user</cp:lastModifiedBy>
  <cp:lastPrinted>2026-08-20T18:02:00Z</cp:lastPrinted>
  <dcterms:modified xsi:type="dcterms:W3CDTF">2026-08-20T11:08:49Z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eyJoZGlkIjoiMWJmYmVhMGQ2YWQwOTc0ZDFkYmVkZTE0NzFkNThlYzIiLCJ1c2VySWQiOiIxMDM2OTAzNTM2In0=</vt:lpwstr>
  </property>
  <property fmtid="{D5CDD505-2E9C-101B-9397-08002B2CF9AE}" pid="4" name="ICV">
    <vt:lpwstr>D49AD5D988D6ADFA3360866A7CE9CF70</vt:lpwstr>
  </property>
</Properties>
</file>