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ascii="黑体" w:hAnsi="宋体" w:eastAsia="黑体"/>
          <w:color w:val="000000" w:themeColor="text1"/>
          <w:sz w:val="32"/>
          <w:szCs w:val="32"/>
          <w14:textFill>
            <w14:solidFill>
              <w14:schemeClr w14:val="tx1"/>
            </w14:solidFill>
          </w14:textFill>
        </w:rPr>
      </w:pPr>
      <w:r>
        <w:rPr>
          <w:rFonts w:hint="eastAsia" w:ascii="黑体" w:hAnsi="宋体" w:eastAsia="黑体"/>
          <w:color w:val="000000" w:themeColor="text1"/>
          <w:sz w:val="32"/>
          <w:szCs w:val="32"/>
          <w14:textFill>
            <w14:solidFill>
              <w14:schemeClr w14:val="tx1"/>
            </w14:solidFill>
          </w14:textFill>
        </w:rPr>
        <w:t>附件</w:t>
      </w:r>
    </w:p>
    <w:p>
      <w:pPr>
        <w:autoSpaceDE w:val="0"/>
        <w:autoSpaceDN w:val="0"/>
        <w:jc w:val="center"/>
        <w:rPr>
          <w:rFonts w:ascii="黑体" w:hAnsi="仿宋" w:eastAsia="黑体" w:cs="仿宋_GB2312"/>
          <w:color w:val="000000" w:themeColor="text1"/>
          <w:sz w:val="36"/>
          <w:szCs w:val="36"/>
          <w:lang w:val="zh-CN"/>
          <w14:textFill>
            <w14:solidFill>
              <w14:schemeClr w14:val="tx1"/>
            </w14:solidFill>
          </w14:textFill>
        </w:rPr>
      </w:pPr>
    </w:p>
    <w:p>
      <w:pPr>
        <w:autoSpaceDE w:val="0"/>
        <w:autoSpaceDN w:val="0"/>
        <w:jc w:val="center"/>
        <w:rPr>
          <w:rFonts w:hint="eastAsia" w:ascii="黑体" w:hAnsi="黑体" w:eastAsia="黑体" w:cs="黑体"/>
          <w:bCs/>
          <w:color w:val="000000" w:themeColor="text1"/>
          <w:w w:val="90"/>
          <w:sz w:val="36"/>
          <w:szCs w:val="36"/>
          <w:lang w:eastAsia="zh-CN"/>
          <w14:textFill>
            <w14:solidFill>
              <w14:schemeClr w14:val="tx1"/>
            </w14:solidFill>
          </w14:textFill>
        </w:rPr>
      </w:pPr>
      <w:r>
        <w:rPr>
          <w:rFonts w:hint="eastAsia" w:ascii="黑体" w:hAnsi="黑体" w:eastAsia="黑体" w:cs="黑体"/>
          <w:bCs/>
          <w:color w:val="000000" w:themeColor="text1"/>
          <w:w w:val="90"/>
          <w:sz w:val="36"/>
          <w:szCs w:val="36"/>
          <w:lang w:val="en-US" w:eastAsia="zh-CN"/>
          <w14:textFill>
            <w14:solidFill>
              <w14:schemeClr w14:val="tx1"/>
            </w14:solidFill>
          </w14:textFill>
        </w:rPr>
        <w:t>莆炎高速公路永泰梧桐至尤溪中仙</w:t>
      </w:r>
      <w:r>
        <w:rPr>
          <w:rFonts w:hint="eastAsia" w:ascii="黑体" w:hAnsi="黑体" w:eastAsia="黑体" w:cs="黑体"/>
          <w:bCs/>
          <w:color w:val="000000" w:themeColor="text1"/>
          <w:w w:val="90"/>
          <w:sz w:val="36"/>
          <w:szCs w:val="36"/>
          <w:lang w:eastAsia="zh-CN"/>
          <w14:textFill>
            <w14:solidFill>
              <w14:schemeClr w14:val="tx1"/>
            </w14:solidFill>
          </w14:textFill>
        </w:rPr>
        <w:t>段（</w:t>
      </w:r>
      <w:r>
        <w:rPr>
          <w:rFonts w:hint="eastAsia" w:ascii="黑体" w:hAnsi="黑体" w:eastAsia="黑体" w:cs="黑体"/>
          <w:bCs/>
          <w:color w:val="000000" w:themeColor="text1"/>
          <w:w w:val="90"/>
          <w:sz w:val="36"/>
          <w:szCs w:val="36"/>
          <w:lang w:val="en-US" w:eastAsia="zh-CN"/>
          <w14:textFill>
            <w14:solidFill>
              <w14:schemeClr w14:val="tx1"/>
            </w14:solidFill>
          </w14:textFill>
        </w:rPr>
        <w:t>三明市境</w:t>
      </w:r>
      <w:r>
        <w:rPr>
          <w:rFonts w:hint="eastAsia" w:ascii="黑体" w:hAnsi="黑体" w:eastAsia="黑体" w:cs="黑体"/>
          <w:bCs/>
          <w:color w:val="000000" w:themeColor="text1"/>
          <w:w w:val="90"/>
          <w:sz w:val="36"/>
          <w:szCs w:val="36"/>
          <w:lang w:eastAsia="zh-CN"/>
          <w14:textFill>
            <w14:solidFill>
              <w14:schemeClr w14:val="tx1"/>
            </w14:solidFill>
          </w14:textFill>
        </w:rPr>
        <w:t>）</w:t>
      </w:r>
    </w:p>
    <w:p>
      <w:pPr>
        <w:pStyle w:val="5"/>
        <w:rPr>
          <w:color w:val="000000" w:themeColor="text1"/>
          <w:lang w:val="zh-CN"/>
          <w14:textFill>
            <w14:solidFill>
              <w14:schemeClr w14:val="tx1"/>
            </w14:solidFill>
          </w14:textFill>
        </w:rPr>
      </w:pPr>
    </w:p>
    <w:p>
      <w:pPr>
        <w:autoSpaceDE w:val="0"/>
        <w:autoSpaceDN w:val="0"/>
        <w:jc w:val="center"/>
        <w:outlineLvl w:val="0"/>
        <w:rPr>
          <w:rFonts w:hint="eastAsia" w:ascii="黑体" w:hAnsi="华文中宋" w:eastAsia="方正小标宋简体" w:cs="华文中宋"/>
          <w:b/>
          <w:bCs/>
          <w:color w:val="000000" w:themeColor="text1"/>
          <w:sz w:val="72"/>
          <w:szCs w:val="72"/>
          <w:lang w:val="zh-CN"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89"/>
          <w:kern w:val="0"/>
          <w:sz w:val="56"/>
          <w:szCs w:val="56"/>
          <w:lang w:val="zh-CN"/>
          <w14:textFill>
            <w14:solidFill>
              <w14:schemeClr w14:val="tx1"/>
            </w14:solidFill>
          </w14:textFill>
        </w:rPr>
        <w:t>竣工质量鉴定</w:t>
      </w:r>
      <w:r>
        <w:rPr>
          <w:rFonts w:hint="eastAsia" w:ascii="方正小标宋简体" w:hAnsi="方正小标宋简体" w:eastAsia="方正小标宋简体" w:cs="方正小标宋简体"/>
          <w:color w:val="000000" w:themeColor="text1"/>
          <w:spacing w:val="89"/>
          <w:kern w:val="0"/>
          <w:sz w:val="56"/>
          <w:szCs w:val="56"/>
          <w:lang w:val="en-US" w:eastAsia="zh-CN"/>
          <w14:textFill>
            <w14:solidFill>
              <w14:schemeClr w14:val="tx1"/>
            </w14:solidFill>
          </w14:textFill>
        </w:rPr>
        <w:t>意见</w:t>
      </w:r>
    </w:p>
    <w:p>
      <w:pPr>
        <w:autoSpaceDE w:val="0"/>
        <w:autoSpaceDN w:val="0"/>
        <w:adjustRightInd w:val="0"/>
        <w:spacing w:line="360" w:lineRule="auto"/>
        <w:ind w:firstLine="134" w:firstLineChars="64"/>
        <w:rPr>
          <w:rFonts w:hint="eastAsia" w:ascii="宋体" w:hAnsi="宋体" w:eastAsia="宋体" w:cs="华文中宋"/>
          <w:color w:val="000000" w:themeColor="text1"/>
          <w:szCs w:val="32"/>
          <w:lang w:val="en-US" w:eastAsia="zh-CN"/>
          <w14:textFill>
            <w14:solidFill>
              <w14:schemeClr w14:val="tx1"/>
            </w14:solidFill>
          </w14:textFill>
        </w:rPr>
      </w:pPr>
      <w:r>
        <w:rPr>
          <w:rFonts w:hint="eastAsia" w:ascii="宋体" w:hAnsi="宋体" w:cs="华文中宋"/>
          <w:color w:val="000000" w:themeColor="text1"/>
          <w:szCs w:val="32"/>
          <w:lang w:val="en-US" w:eastAsia="zh-CN"/>
          <w14:textFill>
            <w14:solidFill>
              <w14:schemeClr w14:val="tx1"/>
            </w14:solidFill>
          </w14:textFill>
        </w:rPr>
        <w:t xml:space="preserve"> </w:t>
      </w: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rPr>
          <w:rFonts w:ascii="宋体" w:hAnsi="宋体" w:cs="华文中宋"/>
          <w:color w:val="000000" w:themeColor="text1"/>
          <w:szCs w:val="32"/>
          <w:lang w:val="en-GB"/>
          <w14:textFill>
            <w14:solidFill>
              <w14:schemeClr w14:val="tx1"/>
            </w14:solidFill>
          </w14:textFill>
        </w:rPr>
      </w:pPr>
    </w:p>
    <w:p>
      <w:pPr>
        <w:pStyle w:val="5"/>
        <w:ind w:firstLine="0" w:firstLineChars="0"/>
        <w:rPr>
          <w:rFonts w:ascii="宋体" w:hAnsi="宋体" w:cs="华文中宋"/>
          <w:color w:val="000000" w:themeColor="text1"/>
          <w:szCs w:val="32"/>
          <w:lang w:val="en-GB"/>
          <w14:textFill>
            <w14:solidFill>
              <w14:schemeClr w14:val="tx1"/>
            </w14:solidFill>
          </w14:textFill>
        </w:rPr>
      </w:pPr>
    </w:p>
    <w:p>
      <w:pPr>
        <w:pStyle w:val="5"/>
        <w:ind w:firstLine="0" w:firstLineChars="0"/>
        <w:rPr>
          <w:rFonts w:ascii="宋体" w:hAnsi="宋体" w:cs="华文中宋"/>
          <w:color w:val="000000" w:themeColor="text1"/>
          <w:szCs w:val="32"/>
          <w:lang w:val="en-GB"/>
          <w14:textFill>
            <w14:solidFill>
              <w14:schemeClr w14:val="tx1"/>
            </w14:solidFill>
          </w14:textFill>
        </w:rPr>
      </w:pPr>
    </w:p>
    <w:p>
      <w:pPr>
        <w:pStyle w:val="5"/>
        <w:ind w:firstLine="0" w:firstLineChars="0"/>
        <w:rPr>
          <w:rFonts w:ascii="宋体" w:hAnsi="宋体" w:cs="华文中宋"/>
          <w:color w:val="000000" w:themeColor="text1"/>
          <w:szCs w:val="32"/>
          <w:lang w:val="en-GB"/>
          <w14:textFill>
            <w14:solidFill>
              <w14:schemeClr w14:val="tx1"/>
            </w14:solidFill>
          </w14:textFill>
        </w:rPr>
      </w:pPr>
    </w:p>
    <w:p>
      <w:pPr>
        <w:pStyle w:val="5"/>
        <w:ind w:firstLine="0" w:firstLineChars="0"/>
        <w:rPr>
          <w:rFonts w:ascii="宋体" w:hAnsi="宋体" w:cs="华文中宋"/>
          <w:color w:val="000000" w:themeColor="text1"/>
          <w:szCs w:val="32"/>
          <w:lang w:val="en-GB"/>
          <w14:textFill>
            <w14:solidFill>
              <w14:schemeClr w14:val="tx1"/>
            </w14:solidFill>
          </w14:textFill>
        </w:rPr>
      </w:pPr>
    </w:p>
    <w:p>
      <w:pPr>
        <w:pStyle w:val="5"/>
        <w:ind w:firstLine="0" w:firstLineChars="0"/>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ind w:firstLine="134" w:firstLineChars="64"/>
        <w:rPr>
          <w:rFonts w:ascii="宋体" w:hAnsi="宋体" w:cs="华文中宋"/>
          <w:color w:val="000000" w:themeColor="text1"/>
          <w:szCs w:val="32"/>
          <w:lang w:val="en-GB"/>
          <w14:textFill>
            <w14:solidFill>
              <w14:schemeClr w14:val="tx1"/>
            </w14:solidFill>
          </w14:textFill>
        </w:rPr>
      </w:pPr>
    </w:p>
    <w:p>
      <w:pPr>
        <w:autoSpaceDE w:val="0"/>
        <w:autoSpaceDN w:val="0"/>
        <w:adjustRightInd w:val="0"/>
        <w:spacing w:line="360" w:lineRule="auto"/>
        <w:jc w:val="center"/>
        <w:rPr>
          <w:rFonts w:hint="eastAsia" w:ascii="仿宋_GB2312" w:hAnsi="仿宋_GB2312" w:eastAsia="仿宋_GB2312" w:cs="仿宋_GB2312"/>
          <w:b/>
          <w:bCs/>
          <w:color w:val="000000" w:themeColor="text1"/>
          <w:sz w:val="32"/>
          <w:szCs w:val="32"/>
          <w:lang w:val="en-GB"/>
          <w14:textFill>
            <w14:solidFill>
              <w14:schemeClr w14:val="tx1"/>
            </w14:solidFill>
          </w14:textFill>
        </w:rPr>
      </w:pPr>
      <w:r>
        <w:rPr>
          <w:rFonts w:hint="eastAsia" w:ascii="仿宋_GB2312" w:hAnsi="仿宋_GB2312" w:eastAsia="仿宋_GB2312" w:cs="仿宋_GB2312"/>
          <w:b/>
          <w:bCs/>
          <w:color w:val="000000" w:themeColor="text1"/>
          <w:sz w:val="32"/>
          <w:szCs w:val="32"/>
          <w:lang w:val="en-GB"/>
          <w14:textFill>
            <w14:solidFill>
              <w14:schemeClr w14:val="tx1"/>
            </w14:solidFill>
          </w14:textFill>
        </w:rPr>
        <w:t>福建省交通建设质量安全中心</w:t>
      </w:r>
    </w:p>
    <w:p>
      <w:pPr>
        <w:autoSpaceDE w:val="0"/>
        <w:autoSpaceDN w:val="0"/>
        <w:adjustRightInd w:val="0"/>
        <w:spacing w:line="360" w:lineRule="auto"/>
        <w:ind w:firstLine="206" w:firstLineChars="64"/>
        <w:jc w:val="center"/>
        <w:rPr>
          <w:rFonts w:hint="eastAsia" w:ascii="仿宋_GB2312" w:hAnsi="仿宋_GB2312" w:eastAsia="仿宋_GB2312" w:cs="仿宋_GB2312"/>
          <w:b/>
          <w:bCs/>
          <w:color w:val="000000" w:themeColor="text1"/>
          <w:sz w:val="32"/>
          <w:szCs w:val="32"/>
          <w:lang w:val="zh-CN"/>
          <w14:textFill>
            <w14:solidFill>
              <w14:schemeClr w14:val="tx1"/>
            </w14:solidFill>
          </w14:textFill>
        </w:rPr>
      </w:pPr>
      <w:r>
        <w:rPr>
          <w:rFonts w:hint="eastAsia" w:ascii="仿宋_GB2312" w:hAnsi="仿宋_GB2312" w:eastAsia="仿宋_GB2312" w:cs="仿宋_GB2312"/>
          <w:b/>
          <w:bCs/>
          <w:color w:val="000000" w:themeColor="text1"/>
          <w:sz w:val="32"/>
          <w:szCs w:val="32"/>
          <w:lang w:val="en-GB"/>
          <w14:textFill>
            <w14:solidFill>
              <w14:schemeClr w14:val="tx1"/>
            </w14:solidFill>
          </w14:textFill>
        </w:rPr>
        <w:t>202</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b/>
          <w:bCs/>
          <w:color w:val="000000" w:themeColor="text1"/>
          <w:sz w:val="32"/>
          <w:szCs w:val="32"/>
          <w:lang w:val="zh-CN"/>
          <w14:textFill>
            <w14:solidFill>
              <w14:schemeClr w14:val="tx1"/>
            </w14:solidFill>
          </w14:textFill>
        </w:rPr>
        <w:t>年</w:t>
      </w:r>
      <w:r>
        <w:rPr>
          <w:rFonts w:hint="eastAsia" w:ascii="仿宋_GB2312" w:hAnsi="仿宋_GB2312" w:eastAsia="仿宋_GB2312" w:cs="仿宋_GB2312"/>
          <w:b/>
          <w:bCs/>
          <w:color w:val="000000" w:themeColor="text1"/>
          <w:sz w:val="32"/>
          <w:szCs w:val="32"/>
          <w14:textFill>
            <w14:solidFill>
              <w14:schemeClr w14:val="tx1"/>
            </w14:solidFill>
          </w14:textFill>
        </w:rPr>
        <w:t>1</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b/>
          <w:bCs/>
          <w:color w:val="000000" w:themeColor="text1"/>
          <w:sz w:val="32"/>
          <w:szCs w:val="32"/>
          <w:lang w:val="zh-CN"/>
          <w14:textFill>
            <w14:solidFill>
              <w14:schemeClr w14:val="tx1"/>
            </w14:solidFill>
          </w14:textFill>
        </w:rPr>
        <w:t>月</w:t>
      </w:r>
    </w:p>
    <w:p>
      <w:pPr>
        <w:pStyle w:val="5"/>
        <w:ind w:firstLine="0" w:firstLineChars="0"/>
        <w:rPr>
          <w:rFonts w:ascii="方正小标宋简体" w:hAnsi="华文中宋" w:eastAsia="方正小标宋简体" w:cs="华文中宋"/>
          <w:color w:val="000000" w:themeColor="text1"/>
          <w:sz w:val="16"/>
          <w:szCs w:val="16"/>
          <w:lang w:val="zh-CN"/>
          <w14:textFill>
            <w14:solidFill>
              <w14:schemeClr w14:val="tx1"/>
            </w14:solidFill>
          </w14:textFill>
        </w:rPr>
      </w:pPr>
    </w:p>
    <w:p>
      <w:pPr>
        <w:pStyle w:val="5"/>
        <w:ind w:firstLine="0" w:firstLineChars="0"/>
        <w:rPr>
          <w:rFonts w:ascii="方正小标宋简体" w:hAnsi="华文中宋" w:eastAsia="方正小标宋简体" w:cs="华文中宋"/>
          <w:color w:val="FF0000"/>
          <w:sz w:val="16"/>
          <w:szCs w:val="16"/>
          <w:lang w:val="zh-CN"/>
        </w:rPr>
      </w:pPr>
    </w:p>
    <w:p>
      <w:pPr>
        <w:pStyle w:val="5"/>
        <w:ind w:firstLine="0" w:firstLineChars="0"/>
        <w:rPr>
          <w:rFonts w:ascii="方正小标宋简体" w:hAnsi="华文中宋" w:eastAsia="方正小标宋简体" w:cs="华文中宋"/>
          <w:color w:val="FF0000"/>
          <w:sz w:val="16"/>
          <w:szCs w:val="16"/>
          <w:lang w:val="zh-CN"/>
        </w:rPr>
      </w:pPr>
    </w:p>
    <w:p>
      <w:pPr>
        <w:pStyle w:val="5"/>
        <w:ind w:firstLine="0" w:firstLineChars="0"/>
        <w:rPr>
          <w:rFonts w:ascii="方正小标宋简体" w:hAnsi="华文中宋" w:eastAsia="方正小标宋简体" w:cs="华文中宋"/>
          <w:color w:val="FF0000"/>
          <w:sz w:val="16"/>
          <w:szCs w:val="16"/>
          <w:lang w:val="zh-CN"/>
        </w:rPr>
      </w:pPr>
    </w:p>
    <w:p>
      <w:pPr>
        <w:autoSpaceDE w:val="0"/>
        <w:autoSpaceDN w:val="0"/>
        <w:spacing w:line="660" w:lineRule="exact"/>
        <w:jc w:val="center"/>
        <w:outlineLvl w:val="0"/>
        <w:rPr>
          <w:rFonts w:hint="eastAsia" w:ascii="方正小标宋简体" w:hAnsi="华文中宋" w:eastAsia="方正小标宋简体" w:cs="华文中宋"/>
          <w:color w:val="FF0000"/>
          <w:sz w:val="44"/>
          <w:szCs w:val="44"/>
          <w:lang w:val="zh-CN"/>
        </w:rPr>
        <w:sectPr>
          <w:headerReference r:id="rId3" w:type="default"/>
          <w:pgSz w:w="11906" w:h="16838"/>
          <w:pgMar w:top="1587" w:right="1587" w:bottom="1587" w:left="1587" w:header="851" w:footer="992" w:gutter="0"/>
          <w:pgNumType w:fmt="numberInDash"/>
          <w:cols w:space="720" w:num="1"/>
          <w:docGrid w:type="lines" w:linePitch="312" w:charSpace="0"/>
        </w:sectPr>
      </w:pPr>
    </w:p>
    <w:p>
      <w:pPr>
        <w:keepNext w:val="0"/>
        <w:keepLines w:val="0"/>
        <w:pageBreakBefore w:val="0"/>
        <w:widowControl w:val="0"/>
        <w:kinsoku/>
        <w:wordWrap/>
        <w:overflowPunct/>
        <w:topLinePunct w:val="0"/>
        <w:autoSpaceDE w:val="0"/>
        <w:autoSpaceDN w:val="0"/>
        <w:bidi w:val="0"/>
        <w:adjustRightInd/>
        <w:snapToGrid/>
        <w:spacing w:line="590" w:lineRule="exact"/>
        <w:jc w:val="center"/>
        <w:textAlignment w:val="auto"/>
        <w:outlineLvl w:val="0"/>
        <w:rPr>
          <w:rFonts w:hint="eastAsia" w:ascii="方正小标宋简体" w:hAnsi="华文中宋" w:eastAsia="方正小标宋简体" w:cs="华文中宋"/>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640" w:lineRule="exact"/>
        <w:jc w:val="center"/>
        <w:textAlignment w:val="auto"/>
        <w:outlineLvl w:val="0"/>
        <w:rPr>
          <w:rFonts w:hint="eastAsia" w:ascii="方正小标宋简体" w:hAnsi="华文中宋" w:eastAsia="方正小标宋简体" w:cs="华文中宋"/>
          <w:color w:val="000000" w:themeColor="text1"/>
          <w:sz w:val="44"/>
          <w:szCs w:val="44"/>
          <w:lang w:val="zh-CN"/>
          <w14:textFill>
            <w14:solidFill>
              <w14:schemeClr w14:val="tx1"/>
            </w14:solidFill>
          </w14:textFill>
        </w:rPr>
      </w:pPr>
      <w:r>
        <w:rPr>
          <w:rFonts w:hint="eastAsia" w:ascii="方正小标宋简体" w:hAnsi="华文中宋" w:eastAsia="方正小标宋简体" w:cs="华文中宋"/>
          <w:color w:val="000000" w:themeColor="text1"/>
          <w:sz w:val="44"/>
          <w:szCs w:val="44"/>
          <w:lang w:val="en-US" w:eastAsia="zh-CN"/>
          <w14:textFill>
            <w14:solidFill>
              <w14:schemeClr w14:val="tx1"/>
            </w14:solidFill>
          </w14:textFill>
        </w:rPr>
        <w:t>莆炎高速公路永泰梧桐至尤溪中仙</w:t>
      </w:r>
      <w:r>
        <w:rPr>
          <w:rFonts w:hint="eastAsia" w:ascii="方正小标宋简体" w:hAnsi="华文中宋" w:eastAsia="方正小标宋简体" w:cs="华文中宋"/>
          <w:color w:val="000000" w:themeColor="text1"/>
          <w:sz w:val="44"/>
          <w:szCs w:val="44"/>
          <w:lang w:val="zh-CN"/>
          <w14:textFill>
            <w14:solidFill>
              <w14:schemeClr w14:val="tx1"/>
            </w14:solidFill>
          </w14:textFill>
        </w:rPr>
        <w:t>段</w:t>
      </w:r>
    </w:p>
    <w:p>
      <w:pPr>
        <w:keepNext w:val="0"/>
        <w:keepLines w:val="0"/>
        <w:pageBreakBefore w:val="0"/>
        <w:widowControl w:val="0"/>
        <w:kinsoku/>
        <w:wordWrap/>
        <w:overflowPunct/>
        <w:topLinePunct w:val="0"/>
        <w:autoSpaceDE w:val="0"/>
        <w:autoSpaceDN w:val="0"/>
        <w:bidi w:val="0"/>
        <w:adjustRightInd/>
        <w:snapToGrid/>
        <w:spacing w:line="640" w:lineRule="exact"/>
        <w:jc w:val="center"/>
        <w:textAlignment w:val="auto"/>
        <w:outlineLvl w:val="0"/>
        <w:rPr>
          <w:rFonts w:hint="eastAsia" w:ascii="方正小标宋简体" w:hAnsi="华文中宋" w:eastAsia="方正小标宋简体" w:cs="华文中宋"/>
          <w:color w:val="000000" w:themeColor="text1"/>
          <w:sz w:val="44"/>
          <w:szCs w:val="44"/>
          <w:lang w:val="zh-CN" w:eastAsia="zh-CN"/>
          <w14:textFill>
            <w14:solidFill>
              <w14:schemeClr w14:val="tx1"/>
            </w14:solidFill>
          </w14:textFill>
        </w:rPr>
      </w:pPr>
      <w:r>
        <w:rPr>
          <w:rFonts w:hint="eastAsia" w:ascii="方正小标宋简体" w:hAnsi="华文中宋" w:eastAsia="方正小标宋简体" w:cs="华文中宋"/>
          <w:color w:val="000000" w:themeColor="text1"/>
          <w:sz w:val="44"/>
          <w:szCs w:val="44"/>
          <w:lang w:val="zh-CN" w:eastAsia="zh-CN"/>
          <w14:textFill>
            <w14:solidFill>
              <w14:schemeClr w14:val="tx1"/>
            </w14:solidFill>
          </w14:textFill>
        </w:rPr>
        <w:t>（</w:t>
      </w:r>
      <w:r>
        <w:rPr>
          <w:rFonts w:hint="eastAsia" w:ascii="方正小标宋简体" w:hAnsi="华文中宋" w:eastAsia="方正小标宋简体" w:cs="华文中宋"/>
          <w:color w:val="000000" w:themeColor="text1"/>
          <w:sz w:val="44"/>
          <w:szCs w:val="44"/>
          <w:lang w:val="en-US" w:eastAsia="zh-CN"/>
          <w14:textFill>
            <w14:solidFill>
              <w14:schemeClr w14:val="tx1"/>
            </w14:solidFill>
          </w14:textFill>
        </w:rPr>
        <w:t>三明市境</w:t>
      </w:r>
      <w:r>
        <w:rPr>
          <w:rFonts w:hint="eastAsia" w:ascii="方正小标宋简体" w:hAnsi="华文中宋" w:eastAsia="方正小标宋简体" w:cs="华文中宋"/>
          <w:color w:val="000000" w:themeColor="text1"/>
          <w:sz w:val="44"/>
          <w:szCs w:val="44"/>
          <w:lang w:val="zh-CN" w:eastAsia="zh-CN"/>
          <w14:textFill>
            <w14:solidFill>
              <w14:schemeClr w14:val="tx1"/>
            </w14:solidFill>
          </w14:textFill>
        </w:rPr>
        <w:t>）</w:t>
      </w:r>
      <w:r>
        <w:rPr>
          <w:rFonts w:hint="eastAsia" w:ascii="方正小标宋简体" w:hAnsi="华文中宋" w:eastAsia="方正小标宋简体" w:cs="华文中宋"/>
          <w:color w:val="000000" w:themeColor="text1"/>
          <w:sz w:val="44"/>
          <w:szCs w:val="44"/>
          <w:lang w:val="zh-CN"/>
          <w14:textFill>
            <w14:solidFill>
              <w14:schemeClr w14:val="tx1"/>
            </w14:solidFill>
          </w14:textFill>
        </w:rPr>
        <w:t>竣工质量鉴定</w:t>
      </w:r>
      <w:r>
        <w:rPr>
          <w:rFonts w:hint="eastAsia" w:ascii="方正小标宋简体" w:hAnsi="华文中宋" w:eastAsia="方正小标宋简体" w:cs="华文中宋"/>
          <w:color w:val="000000" w:themeColor="text1"/>
          <w:sz w:val="44"/>
          <w:szCs w:val="44"/>
          <w:lang w:val="en-US" w:eastAsia="zh-CN"/>
          <w14:textFill>
            <w14:solidFill>
              <w14:schemeClr w14:val="tx1"/>
            </w14:solidFill>
          </w14:textFill>
        </w:rPr>
        <w:t>意见</w:t>
      </w:r>
    </w:p>
    <w:p>
      <w:pPr>
        <w:pStyle w:val="5"/>
        <w:keepNext w:val="0"/>
        <w:keepLines w:val="0"/>
        <w:pageBreakBefore w:val="0"/>
        <w:widowControl w:val="0"/>
        <w:kinsoku/>
        <w:wordWrap/>
        <w:overflowPunct/>
        <w:topLinePunct w:val="0"/>
        <w:autoSpaceDE/>
        <w:autoSpaceDN/>
        <w:bidi w:val="0"/>
        <w:adjustRightInd/>
        <w:snapToGrid/>
        <w:spacing w:line="596" w:lineRule="exact"/>
        <w:ind w:firstLine="880" w:firstLineChars="200"/>
        <w:textAlignment w:val="auto"/>
        <w:outlineLvl w:val="9"/>
        <w:rPr>
          <w:rFonts w:ascii="方正小标宋简体" w:hAnsi="华文中宋" w:eastAsia="方正小标宋简体" w:cs="华文中宋"/>
          <w:color w:val="000000" w:themeColor="text1"/>
          <w:sz w:val="44"/>
          <w:szCs w:val="44"/>
          <w:lang w:val="zh-CN"/>
          <w14:textFill>
            <w14:solidFill>
              <w14:schemeClr w14:val="tx1"/>
            </w14:solidFill>
          </w14:textFill>
        </w:rPr>
      </w:pPr>
      <w:bookmarkStart w:id="0" w:name="_GoBack"/>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一、项目基本情况</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莆炎高速公路永泰梧桐至尤溪中仙段（三明市境）主线路线</w:t>
      </w:r>
      <w:r>
        <w:rPr>
          <w:rFonts w:hint="eastAsia" w:ascii="仿宋_GB2312" w:hAnsi="宋体" w:eastAsia="仿宋_GB2312"/>
          <w:color w:val="000000" w:themeColor="text1"/>
          <w:sz w:val="32"/>
          <w:szCs w:val="32"/>
          <w:lang w:val="zh-CN" w:eastAsia="zh-CN"/>
          <w14:textFill>
            <w14:solidFill>
              <w14:schemeClr w14:val="tx1"/>
            </w14:solidFill>
          </w14:textFill>
        </w:rPr>
        <w:t>起点顺接莆炎高速永泰梧桐至尤溪中仙段（福州市境）终点，位于三明市和福州市交界山头顶(分界点位于珠峰隧道内)，设后亭溪特大桥上跨后亭溪，再穿山头顶隧道，过徐州村，经前坑村，于上仙村丘坑设中仙服务区，过坑里，于上仙村老鼠垄设中仙互通与X733相接，而后沿山脚展线至安查林，穿玉溪1号隧道，玉溪2号隧道，过际头、东华村、西华、林兜，而后穿西华隧道，于华口枢纽互通与</w:t>
      </w:r>
      <w:r>
        <w:rPr>
          <w:rFonts w:hint="eastAsia" w:ascii="仿宋_GB2312" w:hAnsi="宋体" w:eastAsia="仿宋_GB2312"/>
          <w:color w:val="000000" w:themeColor="text1"/>
          <w:sz w:val="32"/>
          <w:szCs w:val="32"/>
          <w:lang w:val="en-US" w:eastAsia="zh-CN"/>
          <w14:textFill>
            <w14:solidFill>
              <w14:schemeClr w14:val="tx1"/>
            </w14:solidFill>
          </w14:textFill>
        </w:rPr>
        <w:t>已建成通车的</w:t>
      </w:r>
      <w:r>
        <w:rPr>
          <w:rFonts w:hint="eastAsia" w:ascii="仿宋_GB2312" w:hAnsi="宋体" w:eastAsia="仿宋_GB2312"/>
          <w:color w:val="000000" w:themeColor="text1"/>
          <w:sz w:val="32"/>
          <w:szCs w:val="32"/>
          <w:lang w:val="zh-CN" w:eastAsia="zh-CN"/>
          <w14:textFill>
            <w14:solidFill>
              <w14:schemeClr w14:val="tx1"/>
            </w14:solidFill>
          </w14:textFill>
        </w:rPr>
        <w:t>厦沙高速公路连接</w:t>
      </w:r>
      <w:r>
        <w:rPr>
          <w:rFonts w:hint="eastAsia" w:ascii="仿宋_GB2312" w:hAnsi="宋体" w:eastAsia="仿宋_GB2312"/>
          <w:color w:val="000000" w:themeColor="text1"/>
          <w:sz w:val="32"/>
          <w:szCs w:val="32"/>
          <w:lang w:val="en-US" w:eastAsia="zh-CN"/>
          <w14:textFill>
            <w14:solidFill>
              <w14:schemeClr w14:val="tx1"/>
            </w14:solidFill>
          </w14:textFill>
        </w:rPr>
        <w:t>，路线全长</w:t>
      </w:r>
      <w:r>
        <w:rPr>
          <w:rFonts w:hint="eastAsia" w:ascii="仿宋_GB2312" w:hAnsi="宋体" w:eastAsia="仿宋_GB2312"/>
          <w:color w:val="000000" w:themeColor="text1"/>
          <w:sz w:val="32"/>
          <w:szCs w:val="32"/>
          <w:lang w:val="zh-CN" w:eastAsia="zh-CN"/>
          <w14:textFill>
            <w14:solidFill>
              <w14:schemeClr w14:val="tx1"/>
            </w14:solidFill>
          </w14:textFill>
        </w:rPr>
        <w:t>23.3897公里（本项目路线全长24.8467公里，含插花地1.457公里）</w:t>
      </w:r>
      <w:r>
        <w:rPr>
          <w:rFonts w:hint="eastAsia" w:ascii="仿宋_GB2312" w:hAnsi="宋体" w:eastAsia="仿宋_GB2312"/>
          <w:color w:val="000000" w:themeColor="text1"/>
          <w:sz w:val="32"/>
          <w:szCs w:val="32"/>
          <w:lang w:val="en-US" w:eastAsia="zh-CN"/>
          <w14:textFill>
            <w14:solidFill>
              <w14:schemeClr w14:val="tx1"/>
            </w14:solidFill>
          </w14:textFill>
        </w:rPr>
        <w:t>，</w:t>
      </w:r>
      <w:r>
        <w:rPr>
          <w:rFonts w:hint="eastAsia" w:ascii="仿宋_GB2312" w:hAnsi="宋体" w:eastAsia="仿宋_GB2312"/>
          <w:color w:val="000000" w:themeColor="text1"/>
          <w:sz w:val="32"/>
          <w:szCs w:val="32"/>
          <w:lang w:val="zh-CN" w:eastAsia="zh-CN"/>
          <w14:textFill>
            <w14:solidFill>
              <w14:schemeClr w14:val="tx1"/>
            </w14:solidFill>
          </w14:textFill>
        </w:rPr>
        <w:t>设中仙互通、华口枢纽互通2处互通式立交</w:t>
      </w:r>
      <w:r>
        <w:rPr>
          <w:rFonts w:hint="eastAsia" w:ascii="仿宋_GB2312" w:hAnsi="宋体" w:eastAsia="仿宋_GB2312"/>
          <w:color w:val="000000" w:themeColor="text1"/>
          <w:sz w:val="32"/>
          <w:szCs w:val="32"/>
          <w:lang w:val="en-US" w:eastAsia="zh-CN"/>
          <w14:textFill>
            <w14:solidFill>
              <w14:schemeClr w14:val="tx1"/>
            </w14:solidFill>
          </w14:textFill>
        </w:rPr>
        <w:t>。主线全线采用高速公路标准建设，双向六车道，设计速度100公里/小时，路基宽度33.5米</w:t>
      </w:r>
      <w:r>
        <w:rPr>
          <w:rFonts w:hint="eastAsia" w:ascii="仿宋_GB2312" w:hAnsi="宋体" w:eastAsia="仿宋_GB2312"/>
          <w:color w:val="000000" w:themeColor="text1"/>
          <w:sz w:val="32"/>
          <w:szCs w:val="32"/>
          <w:lang w:val="zh-CN" w:eastAsia="zh-CN"/>
          <w14:textFill>
            <w14:solidFill>
              <w14:schemeClr w14:val="tx1"/>
            </w14:solidFill>
          </w14:textFill>
        </w:rPr>
        <w:t>（整体式）</w:t>
      </w:r>
      <w:r>
        <w:rPr>
          <w:rFonts w:hint="eastAsia" w:ascii="仿宋_GB2312" w:hAnsi="宋体" w:eastAsia="仿宋_GB2312"/>
          <w:color w:val="000000" w:themeColor="text1"/>
          <w:sz w:val="32"/>
          <w:szCs w:val="32"/>
          <w:lang w:val="en-US" w:eastAsia="zh-CN"/>
          <w14:textFill>
            <w14:solidFill>
              <w14:schemeClr w14:val="tx1"/>
            </w14:solidFill>
          </w14:textFill>
        </w:rPr>
        <w:t>，设计荷载采用公路-I级。项目批复概算为91.02亿元。</w:t>
      </w:r>
    </w:p>
    <w:p>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outlineLvl w:val="9"/>
        <w:rPr>
          <w:rFonts w:hint="eastAsia" w:ascii="仿宋_GB2312" w:hAnsi="仿宋_GB2312" w:eastAsia="仿宋_GB2312" w:cs="仿宋_GB2312"/>
          <w:color w:val="000000" w:themeColor="text1"/>
          <w:sz w:val="32"/>
          <w:szCs w:val="32"/>
          <w:lang w:val="en-GB" w:eastAsia="zh-CN"/>
          <w14:textFill>
            <w14:solidFill>
              <w14:schemeClr w14:val="tx1"/>
            </w14:solidFill>
          </w14:textFill>
        </w:rPr>
      </w:pPr>
      <w:r>
        <w:rPr>
          <w:rFonts w:hint="eastAsia" w:ascii="仿宋_GB2312" w:hAnsi="仿宋_GB2312" w:eastAsia="仿宋_GB2312" w:cs="仿宋_GB2312"/>
          <w:color w:val="000000" w:themeColor="text1"/>
          <w:sz w:val="32"/>
          <w:szCs w:val="32"/>
          <w:lang w:val="en-GB" w:eastAsia="zh-CN"/>
          <w14:textFill>
            <w14:solidFill>
              <w14:schemeClr w14:val="tx1"/>
            </w14:solidFill>
          </w14:textFill>
        </w:rPr>
        <w:t>该项目建设单位为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三明莆炎中仙</w:t>
      </w:r>
      <w:r>
        <w:rPr>
          <w:rFonts w:hint="eastAsia" w:ascii="仿宋_GB2312" w:hAnsi="仿宋_GB2312" w:eastAsia="仿宋_GB2312" w:cs="仿宋_GB2312"/>
          <w:color w:val="000000" w:themeColor="text1"/>
          <w:sz w:val="32"/>
          <w:szCs w:val="32"/>
          <w:lang w:val="en-GB" w:eastAsia="zh-CN"/>
          <w14:textFill>
            <w14:solidFill>
              <w14:schemeClr w14:val="tx1"/>
            </w14:solidFill>
          </w14:textFill>
        </w:rPr>
        <w:t>高速公路有限公司，</w:t>
      </w:r>
      <w:r>
        <w:rPr>
          <w:rFonts w:hint="eastAsia" w:ascii="仿宋_GB2312" w:hAnsi="仿宋_GB2312" w:eastAsia="仿宋_GB2312" w:cs="仿宋_GB2312"/>
          <w:color w:val="000000" w:themeColor="text1"/>
          <w:sz w:val="32"/>
          <w:szCs w:val="32"/>
          <w:lang w:eastAsia="zh-CN"/>
          <w14:textFill>
            <w14:solidFill>
              <w14:schemeClr w14:val="tx1"/>
            </w14:solidFill>
          </w14:textFill>
        </w:rPr>
        <w:t>共有</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个路基施工合同段、</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lang w:eastAsia="zh-CN"/>
          <w14:textFill>
            <w14:solidFill>
              <w14:schemeClr w14:val="tx1"/>
            </w14:solidFill>
          </w14:textFill>
        </w:rPr>
        <w:t>个路面施工合同段、</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lang w:eastAsia="zh-CN"/>
          <w14:textFill>
            <w14:solidFill>
              <w14:schemeClr w14:val="tx1"/>
            </w14:solidFill>
          </w14:textFill>
        </w:rPr>
        <w:t>个机电施工合同段，主要参建</w:t>
      </w:r>
      <w:r>
        <w:rPr>
          <w:rFonts w:hint="eastAsia" w:ascii="仿宋_GB2312" w:hAnsi="仿宋_GB2312" w:eastAsia="仿宋_GB2312" w:cs="仿宋_GB2312"/>
          <w:color w:val="000000" w:themeColor="text1"/>
          <w:sz w:val="32"/>
          <w:szCs w:val="32"/>
          <w:lang w:val="en-GB" w:eastAsia="zh-CN"/>
          <w14:textFill>
            <w14:solidFill>
              <w14:schemeClr w14:val="tx1"/>
            </w14:solidFill>
          </w14:textFill>
        </w:rPr>
        <w:t>单位详见附表1。</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二、工程质量鉴定工作依据及组织情况</w:t>
      </w:r>
    </w:p>
    <w:p>
      <w:pPr>
        <w:keepNext w:val="0"/>
        <w:keepLines w:val="0"/>
        <w:pageBreakBefore w:val="0"/>
        <w:widowControl w:val="0"/>
        <w:kinsoku/>
        <w:wordWrap/>
        <w:overflowPunct/>
        <w:topLinePunct w:val="0"/>
        <w:autoSpaceDE w:val="0"/>
        <w:autoSpaceDN w:val="0"/>
        <w:bidi w:val="0"/>
        <w:adjustRightInd/>
        <w:snapToGrid/>
        <w:spacing w:line="596" w:lineRule="exact"/>
        <w:ind w:firstLine="643" w:firstLineChars="200"/>
        <w:textAlignment w:val="auto"/>
        <w:outlineLvl w:val="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（一）工程质量鉴定依据</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1.《公路工程竣（交）工验收办法》（交通运输部令2004年第3号）；</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2.《公路工程竣（交）工验收办法实施细则》（交公路发〔2010〕65号）；</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3.《公路工程质量检验评定标准 第一册 土建工程》（JTG F80/1-2017）《公路工程质量检验评定标准 第二册 机电工程》（JTG 2182-2020）；</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4.《福建省交通运输厅关于印发&lt;福建省公路工程竣（交）工验收质量检测办法&gt;的通知》(闽交建〔2016〕188号)；</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5.</w:t>
      </w:r>
      <w:r>
        <w:rPr>
          <w:rFonts w:hint="eastAsia" w:ascii="仿宋_GB2312" w:hAnsi="宋体" w:eastAsia="仿宋_GB2312"/>
          <w:color w:val="000000" w:themeColor="text1"/>
          <w:sz w:val="32"/>
          <w:szCs w:val="32"/>
          <w:lang w:val="en-GB" w:eastAsia="zh-CN"/>
          <w14:textFill>
            <w14:solidFill>
              <w14:schemeClr w14:val="tx1"/>
            </w14:solidFill>
          </w14:textFill>
        </w:rPr>
        <w:t>《福建省交通运输厅关于印发</w:t>
      </w:r>
      <w:r>
        <w:rPr>
          <w:rFonts w:hint="eastAsia" w:ascii="仿宋_GB2312" w:hAnsi="宋体" w:eastAsia="仿宋_GB2312"/>
          <w:color w:val="000000" w:themeColor="text1"/>
          <w:sz w:val="32"/>
          <w:szCs w:val="32"/>
          <w:lang w:val="en-US" w:eastAsia="zh-CN"/>
          <w14:textFill>
            <w14:solidFill>
              <w14:schemeClr w14:val="tx1"/>
            </w14:solidFill>
          </w14:textFill>
        </w:rPr>
        <w:t>&lt;</w:t>
      </w:r>
      <w:r>
        <w:rPr>
          <w:rFonts w:hint="eastAsia" w:ascii="仿宋_GB2312" w:hAnsi="宋体" w:eastAsia="仿宋_GB2312"/>
          <w:color w:val="000000" w:themeColor="text1"/>
          <w:sz w:val="32"/>
          <w:szCs w:val="32"/>
          <w:lang w:val="en-GB" w:eastAsia="zh-CN"/>
          <w14:textFill>
            <w14:solidFill>
              <w14:schemeClr w14:val="tx1"/>
            </w14:solidFill>
          </w14:textFill>
        </w:rPr>
        <w:t>福建省公路工程竣工验收实施细则</w:t>
      </w:r>
      <w:r>
        <w:rPr>
          <w:rFonts w:hint="eastAsia" w:ascii="仿宋_GB2312" w:hAnsi="宋体" w:eastAsia="仿宋_GB2312"/>
          <w:color w:val="000000" w:themeColor="text1"/>
          <w:sz w:val="32"/>
          <w:szCs w:val="32"/>
          <w:lang w:val="en-US" w:eastAsia="zh-CN"/>
          <w14:textFill>
            <w14:solidFill>
              <w14:schemeClr w14:val="tx1"/>
            </w14:solidFill>
          </w14:textFill>
        </w:rPr>
        <w:t>&gt;的通知</w:t>
      </w:r>
      <w:r>
        <w:rPr>
          <w:rFonts w:hint="eastAsia" w:ascii="仿宋_GB2312" w:hAnsi="宋体" w:eastAsia="仿宋_GB2312"/>
          <w:color w:val="000000" w:themeColor="text1"/>
          <w:sz w:val="32"/>
          <w:szCs w:val="32"/>
          <w:lang w:val="en-GB" w:eastAsia="zh-CN"/>
          <w14:textFill>
            <w14:solidFill>
              <w14:schemeClr w14:val="tx1"/>
            </w14:solidFill>
          </w14:textFill>
        </w:rPr>
        <w:t>》（闽交建</w:t>
      </w:r>
      <w:r>
        <w:rPr>
          <w:rFonts w:hint="eastAsia" w:ascii="仿宋_GB2312" w:hAnsi="宋体" w:eastAsia="仿宋_GB2312"/>
          <w:color w:val="000000" w:themeColor="text1"/>
          <w:sz w:val="32"/>
          <w:szCs w:val="32"/>
          <w:lang w:val="en-US" w:eastAsia="zh-CN"/>
          <w14:textFill>
            <w14:solidFill>
              <w14:schemeClr w14:val="tx1"/>
            </w14:solidFill>
          </w14:textFill>
        </w:rPr>
        <w:t>〔2021〕30</w:t>
      </w:r>
      <w:r>
        <w:rPr>
          <w:rFonts w:hint="eastAsia" w:ascii="仿宋_GB2312" w:hAnsi="宋体" w:eastAsia="仿宋_GB2312"/>
          <w:color w:val="000000" w:themeColor="text1"/>
          <w:sz w:val="32"/>
          <w:szCs w:val="32"/>
          <w:lang w:val="en-GB" w:eastAsia="zh-CN"/>
          <w14:textFill>
            <w14:solidFill>
              <w14:schemeClr w14:val="tx1"/>
            </w14:solidFill>
          </w14:textFill>
        </w:rPr>
        <w:t>号）；</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s="Times New Roman"/>
          <w:color w:val="000000" w:themeColor="text1"/>
          <w:sz w:val="32"/>
          <w:szCs w:val="32"/>
          <w:lang w:val="en-US" w:eastAsia="zh-CN"/>
          <w14:textFill>
            <w14:solidFill>
              <w14:schemeClr w14:val="tx1"/>
            </w14:solidFill>
          </w14:textFill>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6.项目有关的施工设计图、变更设计图、竣工图、施工与监理单位的竣工资料以及其它有关技术文件；</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000000" w:themeColor="text1"/>
          <w:sz w:val="32"/>
          <w:szCs w:val="32"/>
          <w:lang w:val="zh-CN" w:eastAsia="zh-CN"/>
          <w14:textFill>
            <w14:solidFill>
              <w14:schemeClr w14:val="tx1"/>
            </w14:solidFill>
          </w14:textFill>
        </w:rPr>
      </w:pPr>
      <w:r>
        <w:rPr>
          <w:rFonts w:hint="eastAsia" w:ascii="仿宋_GB2312" w:hAnsi="宋体" w:eastAsia="仿宋_GB2312" w:cs="Times New Roman"/>
          <w:color w:val="000000" w:themeColor="text1"/>
          <w:sz w:val="32"/>
          <w:szCs w:val="32"/>
          <w:lang w:val="en-GB" w:eastAsia="zh-CN"/>
          <w14:textFill>
            <w14:solidFill>
              <w14:schemeClr w14:val="tx1"/>
            </w14:solidFill>
          </w14:textFill>
        </w:rPr>
        <w:t>7.</w:t>
      </w:r>
      <w:r>
        <w:rPr>
          <w:rFonts w:hint="eastAsia" w:ascii="仿宋_GB2312" w:hAnsi="宋体" w:eastAsia="仿宋_GB2312" w:cs="Times New Roman"/>
          <w:color w:val="000000" w:themeColor="text1"/>
          <w:sz w:val="32"/>
          <w:szCs w:val="32"/>
          <w:lang w:val="zh-CN" w:eastAsia="zh-CN"/>
          <w14:textFill>
            <w14:solidFill>
              <w14:schemeClr w14:val="tx1"/>
            </w14:solidFill>
          </w14:textFill>
        </w:rPr>
        <w:t>《三明莆炎中仙高速公路有限公司关于上报莆炎高速公路永泰梧桐至尤溪中仙段（三明市境）竣工验收前质量检测结果的报告</w:t>
      </w:r>
      <w:r>
        <w:rPr>
          <w:rFonts w:hint="eastAsia" w:ascii="仿宋_GB2312" w:hAnsi="宋体" w:eastAsia="仿宋_GB2312"/>
          <w:color w:val="000000" w:themeColor="text1"/>
          <w:sz w:val="32"/>
          <w:szCs w:val="32"/>
          <w:lang w:val="zh-CN" w:eastAsia="zh-CN"/>
          <w14:textFill>
            <w14:solidFill>
              <w14:schemeClr w14:val="tx1"/>
            </w14:solidFill>
          </w14:textFill>
        </w:rPr>
        <w:t>》（</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明莆中路〔2023〕2号</w:t>
      </w:r>
      <w:r>
        <w:rPr>
          <w:rFonts w:hint="eastAsia" w:ascii="仿宋_GB2312" w:hAnsi="宋体" w:eastAsia="仿宋_GB2312"/>
          <w:color w:val="000000" w:themeColor="text1"/>
          <w:sz w:val="32"/>
          <w:szCs w:val="32"/>
          <w:lang w:val="zh-CN"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olor w:val="FF0000"/>
          <w:sz w:val="32"/>
          <w:szCs w:val="32"/>
          <w:lang w:val="en-GB" w:eastAsia="zh-CN"/>
        </w:rPr>
      </w:pPr>
      <w:r>
        <w:rPr>
          <w:rFonts w:hint="eastAsia" w:ascii="仿宋_GB2312" w:hAnsi="宋体" w:eastAsia="仿宋_GB2312"/>
          <w:color w:val="000000" w:themeColor="text1"/>
          <w:sz w:val="32"/>
          <w:szCs w:val="32"/>
          <w:lang w:val="en-US" w:eastAsia="zh-CN"/>
          <w14:textFill>
            <w14:solidFill>
              <w14:schemeClr w14:val="tx1"/>
            </w14:solidFill>
          </w14:textFill>
        </w:rPr>
        <w:t>8.</w:t>
      </w:r>
      <w:r>
        <w:rPr>
          <w:rFonts w:hint="eastAsia" w:ascii="仿宋_GB2312" w:hAnsi="宋体" w:eastAsia="仿宋_GB2312"/>
          <w:color w:val="000000" w:themeColor="text1"/>
          <w:sz w:val="32"/>
          <w:szCs w:val="32"/>
          <w:lang w:val="zh-CN" w:eastAsia="zh-CN"/>
          <w14:textFill>
            <w14:solidFill>
              <w14:schemeClr w14:val="tx1"/>
            </w14:solidFill>
          </w14:textFill>
        </w:rPr>
        <w:t>《三明莆炎中仙高速公路有限公司关于上报莆炎高速公路永泰梧桐至尤溪中仙段（三明市境）机电工程竣工验收前质量检测结果的报告》</w:t>
      </w:r>
      <w:r>
        <w:rPr>
          <w:rFonts w:hint="eastAsia" w:ascii="仿宋_GB2312" w:hAnsi="宋体" w:eastAsia="仿宋_GB2312"/>
          <w:color w:val="auto"/>
          <w:sz w:val="32"/>
          <w:szCs w:val="32"/>
          <w:lang w:val="zh-CN" w:eastAsia="zh-CN"/>
        </w:rPr>
        <w:t>（</w:t>
      </w:r>
      <w:r>
        <w:rPr>
          <w:rFonts w:hint="eastAsia" w:ascii="仿宋_GB2312" w:hAnsi="宋体" w:eastAsia="仿宋_GB2312" w:cs="Times New Roman"/>
          <w:color w:val="auto"/>
          <w:sz w:val="32"/>
          <w:szCs w:val="32"/>
          <w:lang w:val="zh-CN" w:eastAsia="zh-CN"/>
        </w:rPr>
        <w:t>明莆中路〔2023〕</w:t>
      </w:r>
      <w:r>
        <w:rPr>
          <w:rFonts w:hint="eastAsia" w:ascii="仿宋_GB2312" w:hAnsi="宋体" w:eastAsia="仿宋_GB2312" w:cs="Times New Roman"/>
          <w:color w:val="auto"/>
          <w:sz w:val="32"/>
          <w:szCs w:val="32"/>
          <w:lang w:val="en-US" w:eastAsia="zh-CN"/>
        </w:rPr>
        <w:t>12</w:t>
      </w:r>
      <w:r>
        <w:rPr>
          <w:rFonts w:hint="eastAsia" w:ascii="仿宋_GB2312" w:hAnsi="宋体" w:eastAsia="仿宋_GB2312" w:cs="Times New Roman"/>
          <w:color w:val="auto"/>
          <w:sz w:val="32"/>
          <w:szCs w:val="32"/>
          <w:lang w:val="zh-CN" w:eastAsia="zh-CN"/>
        </w:rPr>
        <w:t>号</w:t>
      </w:r>
      <w:r>
        <w:rPr>
          <w:rFonts w:hint="eastAsia" w:ascii="仿宋_GB2312" w:hAnsi="宋体" w:eastAsia="仿宋_GB2312"/>
          <w:color w:val="auto"/>
          <w:sz w:val="32"/>
          <w:szCs w:val="32"/>
          <w:lang w:val="zh-CN" w:eastAsia="zh-CN"/>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s="Times New Roman"/>
          <w:color w:val="000000" w:themeColor="text1"/>
          <w:sz w:val="30"/>
          <w:szCs w:val="30"/>
          <w:lang w:val="en-GB" w:eastAsia="zh-CN"/>
          <w14:textFill>
            <w14:solidFill>
              <w14:schemeClr w14:val="tx1"/>
            </w14:solidFill>
          </w14:textFill>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9</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关于</w:t>
      </w:r>
      <w:r>
        <w:rPr>
          <w:rFonts w:hint="eastAsia" w:ascii="仿宋_GB2312" w:hAnsi="宋体" w:eastAsia="仿宋_GB2312" w:cs="Times New Roman"/>
          <w:color w:val="000000" w:themeColor="text1"/>
          <w:sz w:val="30"/>
          <w:szCs w:val="30"/>
          <w:lang w:val="zh-CN" w:eastAsia="zh-CN"/>
          <w14:textFill>
            <w14:solidFill>
              <w14:schemeClr w14:val="tx1"/>
            </w14:solidFill>
          </w14:textFill>
        </w:rPr>
        <w:t>报送莆炎高速公路永泰梧桐至尤溪中仙段（三明市境）交工验收遗留问题整改修复情况的报告</w:t>
      </w:r>
      <w:r>
        <w:rPr>
          <w:rFonts w:hint="eastAsia" w:ascii="仿宋_GB2312" w:hAnsi="宋体" w:eastAsia="仿宋_GB2312" w:cs="Times New Roman"/>
          <w:color w:val="000000" w:themeColor="text1"/>
          <w:sz w:val="30"/>
          <w:szCs w:val="30"/>
          <w:lang w:val="en-GB" w:eastAsia="zh-CN"/>
          <w14:textFill>
            <w14:solidFill>
              <w14:schemeClr w14:val="tx1"/>
            </w14:solidFill>
          </w14:textFill>
        </w:rPr>
        <w:t>》（</w:t>
      </w:r>
      <w:r>
        <w:rPr>
          <w:rFonts w:hint="eastAsia" w:ascii="仿宋_GB2312" w:hAnsi="宋体" w:eastAsia="仿宋_GB2312" w:cs="Times New Roman"/>
          <w:color w:val="000000" w:themeColor="text1"/>
          <w:sz w:val="30"/>
          <w:szCs w:val="30"/>
          <w:lang w:val="zh-CN" w:eastAsia="zh-CN"/>
          <w14:textFill>
            <w14:solidFill>
              <w14:schemeClr w14:val="tx1"/>
            </w14:solidFill>
          </w14:textFill>
        </w:rPr>
        <w:t>明莆中工〔2023〕6号</w:t>
      </w:r>
      <w:r>
        <w:rPr>
          <w:rFonts w:hint="eastAsia" w:ascii="仿宋_GB2312" w:hAnsi="宋体" w:eastAsia="仿宋_GB2312" w:cs="Times New Roman"/>
          <w:color w:val="000000" w:themeColor="text1"/>
          <w:sz w:val="30"/>
          <w:szCs w:val="30"/>
          <w:lang w:val="en-GB"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s="Times New Roman"/>
          <w:color w:val="000000" w:themeColor="text1"/>
          <w:sz w:val="32"/>
          <w:szCs w:val="32"/>
          <w:lang w:val="en-GB" w:eastAsia="zh-CN"/>
          <w14:textFill>
            <w14:solidFill>
              <w14:schemeClr w14:val="tx1"/>
            </w14:solidFill>
          </w14:textFill>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10.</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关于报送莆炎高速公路永泰梧桐至尤溪中仙段（三明市境）试运营期间存在问题处理情况的报告</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明莆中路〔2023〕10号</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ascii="仿宋_GB2312" w:hAnsi="宋体" w:eastAsia="仿宋_GB2312" w:cs="Times New Roman"/>
          <w:color w:val="000000" w:themeColor="text1"/>
          <w:sz w:val="32"/>
          <w:szCs w:val="32"/>
          <w:lang w:val="en-GB" w:eastAsia="zh-CN"/>
          <w14:textFill>
            <w14:solidFill>
              <w14:schemeClr w14:val="tx1"/>
            </w14:solidFill>
          </w14:textFill>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11.</w:t>
      </w:r>
      <w:r>
        <w:rPr>
          <w:rFonts w:hint="eastAsia" w:ascii="仿宋_GB2312" w:hAnsi="宋体" w:eastAsia="仿宋_GB2312" w:cs="Times New Roman"/>
          <w:color w:val="000000" w:themeColor="text1"/>
          <w:sz w:val="32"/>
          <w:szCs w:val="32"/>
          <w:lang w:val="zh-CN" w:eastAsia="zh-CN"/>
          <w14:textFill>
            <w14:solidFill>
              <w14:schemeClr w14:val="tx1"/>
            </w14:solidFill>
          </w14:textFill>
        </w:rPr>
        <w:t>《三明莆炎中仙高速公路有限公司关于上报莆炎高速公路永泰梧桐至尤溪中仙段（三明市境）竣工验收前外观缺陷修复及复查情况的报告》（明莆中工〔2023〕5号）</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9"/>
        <w:rPr>
          <w:rFonts w:hint="eastAsia"/>
          <w:lang w:val="en-GB" w:eastAsia="zh-CN"/>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12.</w:t>
      </w:r>
      <w:r>
        <w:rPr>
          <w:rFonts w:hint="eastAsia" w:ascii="仿宋_GB2312" w:hAnsi="宋体" w:eastAsia="仿宋_GB2312" w:cs="Times New Roman"/>
          <w:color w:val="000000" w:themeColor="text1"/>
          <w:sz w:val="32"/>
          <w:szCs w:val="32"/>
          <w:lang w:val="zh-CN" w:eastAsia="zh-CN"/>
          <w14:textFill>
            <w14:solidFill>
              <w14:schemeClr w14:val="tx1"/>
            </w14:solidFill>
          </w14:textFill>
        </w:rPr>
        <w:t>《三明莆炎中仙高速公路有限公司关于上报莆炎高速公路永泰梧桐至尤溪中仙段（三明市境）机电工程竣工验收前外观缺陷修复及复查情况的报</w:t>
      </w:r>
      <w:r>
        <w:rPr>
          <w:rFonts w:hint="eastAsia" w:ascii="仿宋_GB2312" w:hAnsi="宋体" w:eastAsia="仿宋_GB2312" w:cs="Times New Roman"/>
          <w:color w:val="auto"/>
          <w:sz w:val="32"/>
          <w:szCs w:val="32"/>
          <w:lang w:val="zh-CN" w:eastAsia="zh-CN"/>
        </w:rPr>
        <w:t>告》（</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明莆中路〔2023〕</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13</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号）</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napToGrid/>
        <w:spacing w:after="0" w:line="596" w:lineRule="exact"/>
        <w:ind w:left="0" w:leftChars="0" w:firstLine="640" w:firstLineChars="200"/>
        <w:textAlignment w:val="auto"/>
        <w:outlineLvl w:val="9"/>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pPr>
      <w:r>
        <w:rPr>
          <w:rFonts w:hint="eastAsia" w:ascii="仿宋_GB2312" w:hAnsi="宋体" w:eastAsia="仿宋_GB2312" w:cs="Times New Roman"/>
          <w:color w:val="000000" w:themeColor="text1"/>
          <w:kern w:val="2"/>
          <w:sz w:val="32"/>
          <w:szCs w:val="32"/>
          <w:lang w:val="en-US" w:eastAsia="zh-CN" w:bidi="ar-SA"/>
          <w14:textFill>
            <w14:solidFill>
              <w14:schemeClr w14:val="tx1"/>
            </w14:solidFill>
          </w14:textFill>
        </w:rPr>
        <w:t>13.</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w:t>
      </w:r>
      <w:r>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t>三明莆炎中仙高速公路有限公司关于上报莆炎高速中仙段机电房建工程竣工验收前质量检测抽查发现问题整改反馈的报告</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》（明莆中工〔2023〕</w:t>
      </w:r>
      <w:r>
        <w:rPr>
          <w:rFonts w:hint="eastAsia" w:ascii="仿宋_GB2312" w:hAnsi="宋体" w:eastAsia="仿宋_GB2312" w:cs="Times New Roman"/>
          <w:color w:val="000000" w:themeColor="text1"/>
          <w:kern w:val="2"/>
          <w:sz w:val="32"/>
          <w:szCs w:val="32"/>
          <w:lang w:val="en-US" w:eastAsia="zh-CN" w:bidi="ar-SA"/>
          <w14:textFill>
            <w14:solidFill>
              <w14:schemeClr w14:val="tx1"/>
            </w14:solidFill>
          </w14:textFill>
        </w:rPr>
        <w:t>13</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号）</w:t>
      </w:r>
      <w:r>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t>；</w:t>
      </w:r>
    </w:p>
    <w:p>
      <w:pPr>
        <w:pStyle w:val="2"/>
        <w:keepNext w:val="0"/>
        <w:keepLines w:val="0"/>
        <w:pageBreakBefore w:val="0"/>
        <w:widowControl w:val="0"/>
        <w:kinsoku/>
        <w:wordWrap/>
        <w:overflowPunct/>
        <w:topLinePunct w:val="0"/>
        <w:autoSpaceDE/>
        <w:autoSpaceDN/>
        <w:bidi w:val="0"/>
        <w:adjustRightInd/>
        <w:snapToGrid/>
        <w:spacing w:after="0" w:line="596" w:lineRule="exact"/>
        <w:ind w:left="0" w:leftChars="0" w:firstLine="640" w:firstLineChars="200"/>
        <w:textAlignment w:val="auto"/>
        <w:outlineLvl w:val="9"/>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pPr>
      <w:r>
        <w:rPr>
          <w:rFonts w:hint="eastAsia" w:ascii="仿宋_GB2312" w:hAnsi="宋体" w:eastAsia="仿宋_GB2312" w:cs="Times New Roman"/>
          <w:color w:val="000000" w:themeColor="text1"/>
          <w:kern w:val="2"/>
          <w:sz w:val="32"/>
          <w:szCs w:val="32"/>
          <w:lang w:val="en-US" w:eastAsia="zh-CN" w:bidi="ar-SA"/>
          <w14:textFill>
            <w14:solidFill>
              <w14:schemeClr w14:val="tx1"/>
            </w14:solidFill>
          </w14:textFill>
        </w:rPr>
        <w:t>14.</w:t>
      </w:r>
      <w:r>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t>《</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三明莆炎中仙高速公路有限公司关于上报莆炎高速中仙段竣工验收前质量检测外观缺陷修复情况抽查发现问题整改反馈的报告</w:t>
      </w:r>
      <w:r>
        <w:rPr>
          <w:rFonts w:hint="eastAsia" w:ascii="仿宋_GB2312" w:hAnsi="宋体" w:eastAsia="仿宋_GB2312" w:cs="Times New Roman"/>
          <w:color w:val="000000" w:themeColor="text1"/>
          <w:kern w:val="2"/>
          <w:sz w:val="32"/>
          <w:szCs w:val="32"/>
          <w:lang w:val="en-US" w:eastAsia="zh-CN" w:bidi="ar-SA"/>
          <w14:textFill>
            <w14:solidFill>
              <w14:schemeClr w14:val="tx1"/>
            </w14:solidFill>
          </w14:textFill>
        </w:rPr>
        <w:t>》</w:t>
      </w:r>
      <w:r>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t>（</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明莆中工〔2023〕11号</w:t>
      </w:r>
      <w:r>
        <w:rPr>
          <w:rFonts w:hint="eastAsia" w:ascii="仿宋_GB2312" w:hAnsi="宋体" w:eastAsia="仿宋_GB2312" w:cs="Times New Roman"/>
          <w:color w:val="000000" w:themeColor="text1"/>
          <w:kern w:val="2"/>
          <w:sz w:val="32"/>
          <w:szCs w:val="32"/>
          <w:lang w:val="en-GB" w:eastAsia="zh-CN" w:bidi="ar-SA"/>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96" w:lineRule="exact"/>
        <w:ind w:firstLine="643" w:firstLineChars="200"/>
        <w:textAlignment w:val="auto"/>
        <w:outlineLvl w:val="0"/>
        <w:rPr>
          <w:rFonts w:ascii="楷体_GB2312" w:hAnsi="宋体" w:eastAsia="楷体_GB2312" w:cs="仿宋_GB2312"/>
          <w:b/>
          <w:bCs/>
          <w:color w:val="000000" w:themeColor="text1"/>
          <w:sz w:val="32"/>
          <w:szCs w:val="32"/>
          <w:lang w:val="zh-CN"/>
          <w14:textFill>
            <w14:solidFill>
              <w14:schemeClr w14:val="tx1"/>
            </w14:solidFill>
          </w14:textFill>
        </w:rPr>
      </w:pPr>
      <w:r>
        <w:rPr>
          <w:rFonts w:hint="eastAsia" w:ascii="楷体_GB2312" w:hAnsi="宋体" w:eastAsia="楷体_GB2312" w:cs="仿宋_GB2312"/>
          <w:b/>
          <w:bCs/>
          <w:color w:val="000000" w:themeColor="text1"/>
          <w:sz w:val="32"/>
          <w:szCs w:val="32"/>
          <w:lang w:val="zh-CN"/>
          <w14:textFill>
            <w14:solidFill>
              <w14:schemeClr w14:val="tx1"/>
            </w14:solidFill>
          </w14:textFill>
        </w:rPr>
        <w:t>（二）工程质量鉴定工作组织情况</w:t>
      </w:r>
    </w:p>
    <w:p>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outlineLvl w:val="0"/>
        <w:rPr>
          <w:rFonts w:hint="eastAsia" w:ascii="仿宋_GB2312" w:hAnsi="宋体" w:eastAsia="仿宋_GB2312" w:cs="Times New Roman"/>
          <w:color w:val="000000" w:themeColor="text1"/>
          <w:sz w:val="32"/>
          <w:szCs w:val="32"/>
          <w:lang w:val="en-GB" w:eastAsia="zh-CN"/>
          <w14:textFill>
            <w14:solidFill>
              <w14:schemeClr w14:val="tx1"/>
            </w14:solidFill>
          </w14:textFill>
        </w:rPr>
      </w:pPr>
      <w:r>
        <w:rPr>
          <w:rFonts w:hint="eastAsia" w:ascii="仿宋_GB2312" w:hAnsi="宋体" w:eastAsia="仿宋_GB2312" w:cs="Times New Roman"/>
          <w:color w:val="000000" w:themeColor="text1"/>
          <w:sz w:val="32"/>
          <w:szCs w:val="32"/>
          <w:lang w:val="en-GB" w:eastAsia="zh-CN"/>
          <w14:textFill>
            <w14:solidFill>
              <w14:schemeClr w14:val="tx1"/>
            </w14:solidFill>
          </w14:textFill>
        </w:rPr>
        <w:t>建设单位于202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年1</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月委托福建省交通科研院有限公司开展</w:t>
      </w:r>
      <w:r>
        <w:rPr>
          <w:rFonts w:hint="eastAsia" w:ascii="仿宋_GB2312" w:hAnsi="宋体" w:eastAsia="仿宋_GB2312" w:cs="Times New Roman"/>
          <w:color w:val="000000" w:themeColor="text1"/>
          <w:sz w:val="32"/>
          <w:szCs w:val="32"/>
          <w:lang w:val="en-US" w:eastAsia="zh-CN"/>
          <w14:textFill>
            <w14:solidFill>
              <w14:schemeClr w14:val="tx1"/>
            </w14:solidFill>
          </w14:textFill>
        </w:rPr>
        <w:t>土建工程竣工验收前质量检测工作</w:t>
      </w:r>
      <w:r>
        <w:rPr>
          <w:rFonts w:hint="eastAsia" w:ascii="仿宋_GB2312" w:hAnsi="宋体" w:eastAsia="仿宋_GB2312" w:cs="Times New Roman"/>
          <w:color w:val="000000" w:themeColor="text1"/>
          <w:sz w:val="32"/>
          <w:szCs w:val="32"/>
          <w:lang w:val="en-GB" w:eastAsia="zh-CN"/>
          <w14:textFill>
            <w14:solidFill>
              <w14:schemeClr w14:val="tx1"/>
            </w14:solidFill>
          </w14:textFill>
        </w:rPr>
        <w:t>，于202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8</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月委托</w:t>
      </w:r>
      <w:r>
        <w:rPr>
          <w:rFonts w:hint="eastAsia" w:ascii="仿宋_GB2312" w:hAnsi="宋体" w:eastAsia="仿宋_GB2312" w:cs="Times New Roman"/>
          <w:color w:val="000000" w:themeColor="text1"/>
          <w:sz w:val="32"/>
          <w:szCs w:val="32"/>
          <w:lang w:val="en-US" w:eastAsia="zh-CN"/>
          <w14:textFill>
            <w14:solidFill>
              <w14:schemeClr w14:val="tx1"/>
            </w14:solidFill>
          </w14:textFill>
        </w:rPr>
        <w:t>中路高科交通检测检验认证有限公司</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开展机电工程竣工验收前质量检测工作。针对检测、检查发现的问题，交工验收遗留问题及试运营期出现的问题，建设单位制定了相应整改方案并组织整改。对其中可能影响结构安全的问题，建设单位组织有关参建单位制定专项整改修复方案，经专家论证、设计单位同意后组织整改完毕。</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rPr>
          <w:rFonts w:hint="eastAsia" w:ascii="仿宋_GB2312" w:hAnsi="宋体" w:eastAsia="仿宋_GB2312" w:cs="Times New Roman"/>
          <w:color w:val="000000" w:themeColor="text1"/>
          <w:sz w:val="32"/>
          <w:szCs w:val="32"/>
          <w:lang w:val="zh-CN" w:eastAsia="zh-CN"/>
          <w14:textFill>
            <w14:solidFill>
              <w14:schemeClr w14:val="tx1"/>
            </w14:solidFill>
          </w14:textFill>
        </w:rPr>
      </w:pPr>
      <w:r>
        <w:rPr>
          <w:rFonts w:hint="eastAsia" w:ascii="仿宋_GB2312" w:hAnsi="宋体" w:eastAsia="仿宋_GB2312" w:cs="Times New Roman"/>
          <w:color w:val="000000" w:themeColor="text1"/>
          <w:sz w:val="32"/>
          <w:szCs w:val="32"/>
          <w:lang w:val="en-GB" w:eastAsia="zh-CN"/>
          <w14:textFill>
            <w14:solidFill>
              <w14:schemeClr w14:val="tx1"/>
            </w14:solidFill>
          </w14:textFill>
        </w:rPr>
        <w:t>建设单位于202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5</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月组织福建省交通科研院有限公司对</w:t>
      </w:r>
      <w:r>
        <w:rPr>
          <w:rFonts w:hint="eastAsia" w:ascii="仿宋_GB2312" w:hAnsi="宋体" w:eastAsia="仿宋_GB2312" w:cs="Times New Roman"/>
          <w:color w:val="000000" w:themeColor="text1"/>
          <w:sz w:val="32"/>
          <w:szCs w:val="32"/>
          <w:lang w:val="en-US" w:eastAsia="zh-CN"/>
          <w14:textFill>
            <w14:solidFill>
              <w14:schemeClr w14:val="tx1"/>
            </w14:solidFill>
          </w14:textFill>
        </w:rPr>
        <w:t>土建工程</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整改情况进行复查，并组织参建单位对整改情况进行验收，</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整改情况于20</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23</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6</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月以《三明莆炎中仙高速公路有限公司关于上报莆炎高速公路永泰梧桐至尤溪中仙段（三明市境）竣工验收前外观缺陷修复及复查情况的报告》（明莆中工〔2023〕5号）报送我中心；</w:t>
      </w:r>
      <w:r>
        <w:rPr>
          <w:rFonts w:hint="eastAsia" w:ascii="仿宋_GB2312" w:hAnsi="宋体" w:eastAsia="仿宋_GB2312" w:cs="Times New Roman"/>
          <w:color w:val="000000" w:themeColor="text1"/>
          <w:sz w:val="32"/>
          <w:szCs w:val="32"/>
          <w:lang w:val="en-US" w:eastAsia="zh-CN"/>
          <w14:textFill>
            <w14:solidFill>
              <w14:schemeClr w14:val="tx1"/>
            </w14:solidFill>
          </w14:textFill>
        </w:rPr>
        <w:t>机电工程</w:t>
      </w:r>
      <w:r>
        <w:rPr>
          <w:rFonts w:hint="eastAsia" w:ascii="仿宋_GB2312" w:hAnsi="宋体" w:eastAsia="仿宋_GB2312" w:cs="Times New Roman"/>
          <w:color w:val="000000" w:themeColor="text1"/>
          <w:sz w:val="32"/>
          <w:szCs w:val="32"/>
          <w:lang w:val="en-GB" w:eastAsia="zh-CN"/>
          <w14:textFill>
            <w14:solidFill>
              <w14:schemeClr w14:val="tx1"/>
            </w14:solidFill>
          </w14:textFill>
        </w:rPr>
        <w:t>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8</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月组织</w:t>
      </w:r>
      <w:r>
        <w:rPr>
          <w:rFonts w:hint="eastAsia" w:ascii="仿宋_GB2312" w:hAnsi="宋体" w:eastAsia="仿宋_GB2312" w:cs="Times New Roman"/>
          <w:color w:val="000000" w:themeColor="text1"/>
          <w:sz w:val="32"/>
          <w:szCs w:val="32"/>
          <w:lang w:val="en-US" w:eastAsia="zh-CN"/>
          <w14:textFill>
            <w14:solidFill>
              <w14:schemeClr w14:val="tx1"/>
            </w14:solidFill>
          </w14:textFill>
        </w:rPr>
        <w:t>中路高科交通检测检验认证有限公司</w:t>
      </w:r>
      <w:r>
        <w:rPr>
          <w:rFonts w:hint="eastAsia" w:ascii="仿宋_GB2312" w:hAnsi="宋体" w:eastAsia="仿宋_GB2312" w:cs="Times New Roman"/>
          <w:color w:val="000000" w:themeColor="text1"/>
          <w:sz w:val="32"/>
          <w:szCs w:val="32"/>
          <w:lang w:val="en-GB" w:eastAsia="zh-CN"/>
          <w14:textFill>
            <w14:solidFill>
              <w14:schemeClr w14:val="tx1"/>
            </w14:solidFill>
          </w14:textFill>
        </w:rPr>
        <w:t>对</w:t>
      </w:r>
      <w:r>
        <w:rPr>
          <w:rFonts w:hint="eastAsia" w:ascii="仿宋_GB2312" w:hAnsi="宋体" w:eastAsia="仿宋_GB2312" w:cs="Times New Roman"/>
          <w:color w:val="000000" w:themeColor="text1"/>
          <w:sz w:val="32"/>
          <w:szCs w:val="32"/>
          <w:lang w:val="en-US" w:eastAsia="zh-CN"/>
          <w14:textFill>
            <w14:solidFill>
              <w14:schemeClr w14:val="tx1"/>
            </w14:solidFill>
          </w14:textFill>
        </w:rPr>
        <w:t>机电工程</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整改情况进行复查，并组织参建单位对整改情况进行验收，</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整改情况于20</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23</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8</w:t>
      </w:r>
      <w:r>
        <w:rPr>
          <w:rFonts w:hint="eastAsia" w:ascii="仿宋_GB2312" w:hAnsi="宋体" w:eastAsia="仿宋_GB2312" w:cs="Times New Roman"/>
          <w:color w:val="000000" w:themeColor="text1"/>
          <w:sz w:val="32"/>
          <w:szCs w:val="32"/>
          <w:lang w:val="zh-CN" w:eastAsia="zh-CN"/>
          <w14:textFill>
            <w14:solidFill>
              <w14:schemeClr w14:val="tx1"/>
            </w14:solidFill>
          </w14:textFill>
        </w:rPr>
        <w:t>月以《三明莆炎中仙高速公路有限公司关于上报莆炎高速公路永泰梧桐至尤溪中仙段（三明市境）机电工程竣工验收前外观缺陷修复及复查情况的报告》（明莆中路〔2023〕</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13</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号）报送我中心。</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rPr>
          <w:rFonts w:hint="eastAsia" w:ascii="仿宋_GB2312" w:hAnsi="宋体" w:eastAsia="仿宋_GB2312"/>
          <w:color w:val="000000" w:themeColor="text1"/>
          <w:sz w:val="32"/>
          <w:szCs w:val="32"/>
          <w:lang w:val="zh-CN" w:eastAsia="zh-CN"/>
          <w14:textFill>
            <w14:solidFill>
              <w14:schemeClr w14:val="tx1"/>
            </w14:solidFill>
          </w14:textFill>
        </w:rPr>
      </w:pPr>
      <w:r>
        <w:rPr>
          <w:rFonts w:hint="eastAsia" w:ascii="仿宋_GB2312" w:hAnsi="宋体" w:eastAsia="仿宋_GB2312" w:cs="Times New Roman"/>
          <w:color w:val="000000" w:themeColor="text1"/>
          <w:sz w:val="32"/>
          <w:szCs w:val="32"/>
          <w:lang w:val="en-GB" w:eastAsia="zh-CN"/>
          <w14:textFill>
            <w14:solidFill>
              <w14:schemeClr w14:val="tx1"/>
            </w14:solidFill>
          </w14:textFill>
        </w:rPr>
        <w:t>在建设单位组织整改的基础上，我中心于2023年</w:t>
      </w:r>
      <w:r>
        <w:rPr>
          <w:rFonts w:hint="eastAsia" w:ascii="仿宋_GB2312" w:hAnsi="宋体" w:eastAsia="仿宋_GB2312" w:cs="Times New Roman"/>
          <w:color w:val="000000" w:themeColor="text1"/>
          <w:sz w:val="32"/>
          <w:szCs w:val="32"/>
          <w:lang w:val="en-US" w:eastAsia="zh-CN"/>
          <w14:textFill>
            <w14:solidFill>
              <w14:schemeClr w14:val="tx1"/>
            </w14:solidFill>
          </w14:textFill>
        </w:rPr>
        <w:t>8</w:t>
      </w:r>
      <w:r>
        <w:rPr>
          <w:rFonts w:hint="eastAsia" w:ascii="仿宋_GB2312" w:hAnsi="宋体" w:eastAsia="仿宋_GB2312" w:cs="Times New Roman"/>
          <w:color w:val="000000" w:themeColor="text1"/>
          <w:sz w:val="32"/>
          <w:szCs w:val="32"/>
          <w:lang w:val="en-GB" w:eastAsia="zh-CN"/>
          <w14:textFill>
            <w14:solidFill>
              <w14:schemeClr w14:val="tx1"/>
            </w14:solidFill>
          </w14:textFill>
        </w:rPr>
        <w:t>月组织对</w:t>
      </w:r>
      <w:r>
        <w:rPr>
          <w:rFonts w:hint="eastAsia" w:ascii="仿宋_GB2312" w:hAnsi="宋体" w:eastAsia="仿宋_GB2312"/>
          <w:color w:val="000000" w:themeColor="text1"/>
          <w:sz w:val="32"/>
          <w:szCs w:val="32"/>
          <w:lang w:val="en-GB" w:eastAsia="zh-CN"/>
          <w14:textFill>
            <w14:solidFill>
              <w14:schemeClr w14:val="tx1"/>
            </w14:solidFill>
          </w14:textFill>
        </w:rPr>
        <w:t>该项目的整改修复情况及内业资料进行抽查，现场签发《福建省交通质安中心公路工程质量抽查意见通知书》（闽交质安公[2023]</w:t>
      </w:r>
      <w:r>
        <w:rPr>
          <w:rFonts w:hint="eastAsia" w:ascii="仿宋_GB2312" w:hAnsi="宋体" w:eastAsia="仿宋_GB2312"/>
          <w:color w:val="000000" w:themeColor="text1"/>
          <w:sz w:val="32"/>
          <w:szCs w:val="32"/>
          <w:lang w:val="en-US" w:eastAsia="zh-CN"/>
          <w14:textFill>
            <w14:solidFill>
              <w14:schemeClr w14:val="tx1"/>
            </w14:solidFill>
          </w14:textFill>
        </w:rPr>
        <w:t>SMPY</w:t>
      </w:r>
      <w:r>
        <w:rPr>
          <w:rFonts w:hint="eastAsia" w:ascii="仿宋_GB2312" w:hAnsi="宋体" w:eastAsia="仿宋_GB2312"/>
          <w:color w:val="000000" w:themeColor="text1"/>
          <w:sz w:val="32"/>
          <w:szCs w:val="32"/>
          <w:lang w:val="en-GB" w:eastAsia="zh-CN"/>
          <w14:textFill>
            <w14:solidFill>
              <w14:schemeClr w14:val="tx1"/>
            </w14:solidFill>
          </w14:textFill>
        </w:rPr>
        <w:t>0</w:t>
      </w:r>
      <w:r>
        <w:rPr>
          <w:rFonts w:hint="eastAsia" w:ascii="仿宋_GB2312" w:hAnsi="宋体" w:eastAsia="仿宋_GB2312"/>
          <w:color w:val="000000" w:themeColor="text1"/>
          <w:sz w:val="32"/>
          <w:szCs w:val="32"/>
          <w:lang w:val="en-US" w:eastAsia="zh-CN"/>
          <w14:textFill>
            <w14:solidFill>
              <w14:schemeClr w14:val="tx1"/>
            </w14:solidFill>
          </w14:textFill>
        </w:rPr>
        <w:t>8</w:t>
      </w:r>
      <w:r>
        <w:rPr>
          <w:rFonts w:hint="eastAsia" w:ascii="仿宋_GB2312" w:hAnsi="宋体" w:eastAsia="仿宋_GB2312"/>
          <w:color w:val="000000" w:themeColor="text1"/>
          <w:sz w:val="32"/>
          <w:szCs w:val="32"/>
          <w:lang w:val="en-GB" w:eastAsia="zh-CN"/>
          <w14:textFill>
            <w14:solidFill>
              <w14:schemeClr w14:val="tx1"/>
            </w14:solidFill>
          </w14:textFill>
        </w:rPr>
        <w:t>01号）</w:t>
      </w:r>
      <w:r>
        <w:rPr>
          <w:rFonts w:hint="eastAsia" w:ascii="仿宋_GB2312" w:hAnsi="宋体" w:eastAsia="仿宋_GB2312"/>
          <w:color w:val="000000" w:themeColor="text1"/>
          <w:sz w:val="32"/>
          <w:szCs w:val="32"/>
          <w:lang w:val="en-US" w:eastAsia="zh-CN"/>
          <w14:textFill>
            <w14:solidFill>
              <w14:schemeClr w14:val="tx1"/>
            </w14:solidFill>
          </w14:textFill>
        </w:rPr>
        <w:t>以及</w:t>
      </w:r>
      <w:r>
        <w:rPr>
          <w:rFonts w:hint="eastAsia" w:ascii="仿宋_GB2312" w:hAnsi="宋体" w:eastAsia="仿宋_GB2312"/>
          <w:color w:val="000000" w:themeColor="text1"/>
          <w:sz w:val="32"/>
          <w:szCs w:val="32"/>
          <w:lang w:val="en-GB" w:eastAsia="zh-CN"/>
          <w14:textFill>
            <w14:solidFill>
              <w14:schemeClr w14:val="tx1"/>
            </w14:solidFill>
          </w14:textFill>
        </w:rPr>
        <w:t>《福建省交通质安中心公路工程质量抽查意见通知书》（闽交质安公[2023]</w:t>
      </w:r>
      <w:r>
        <w:rPr>
          <w:rFonts w:hint="eastAsia" w:ascii="仿宋_GB2312" w:hAnsi="宋体" w:eastAsia="仿宋_GB2312"/>
          <w:color w:val="000000" w:themeColor="text1"/>
          <w:sz w:val="32"/>
          <w:szCs w:val="32"/>
          <w:lang w:val="en-US" w:eastAsia="zh-CN"/>
          <w14:textFill>
            <w14:solidFill>
              <w14:schemeClr w14:val="tx1"/>
            </w14:solidFill>
          </w14:textFill>
        </w:rPr>
        <w:t>SMPY</w:t>
      </w:r>
      <w:r>
        <w:rPr>
          <w:rFonts w:hint="eastAsia" w:ascii="仿宋_GB2312" w:hAnsi="宋体" w:eastAsia="仿宋_GB2312"/>
          <w:color w:val="000000" w:themeColor="text1"/>
          <w:sz w:val="32"/>
          <w:szCs w:val="32"/>
          <w:lang w:val="en-GB" w:eastAsia="zh-CN"/>
          <w14:textFill>
            <w14:solidFill>
              <w14:schemeClr w14:val="tx1"/>
            </w14:solidFill>
          </w14:textFill>
        </w:rPr>
        <w:t>0</w:t>
      </w:r>
      <w:r>
        <w:rPr>
          <w:rFonts w:hint="eastAsia" w:ascii="仿宋_GB2312" w:hAnsi="宋体" w:eastAsia="仿宋_GB2312"/>
          <w:color w:val="000000" w:themeColor="text1"/>
          <w:sz w:val="32"/>
          <w:szCs w:val="32"/>
          <w:lang w:val="en-US" w:eastAsia="zh-CN"/>
          <w14:textFill>
            <w14:solidFill>
              <w14:schemeClr w14:val="tx1"/>
            </w14:solidFill>
          </w14:textFill>
        </w:rPr>
        <w:t>8</w:t>
      </w:r>
      <w:r>
        <w:rPr>
          <w:rFonts w:hint="eastAsia" w:ascii="仿宋_GB2312" w:hAnsi="宋体" w:eastAsia="仿宋_GB2312"/>
          <w:color w:val="000000" w:themeColor="text1"/>
          <w:sz w:val="32"/>
          <w:szCs w:val="32"/>
          <w:lang w:val="en-GB" w:eastAsia="zh-CN"/>
          <w14:textFill>
            <w14:solidFill>
              <w14:schemeClr w14:val="tx1"/>
            </w14:solidFill>
          </w14:textFill>
        </w:rPr>
        <w:t>0</w:t>
      </w:r>
      <w:r>
        <w:rPr>
          <w:rFonts w:hint="eastAsia" w:ascii="仿宋_GB2312" w:hAnsi="宋体" w:eastAsia="仿宋_GB2312"/>
          <w:color w:val="000000" w:themeColor="text1"/>
          <w:sz w:val="32"/>
          <w:szCs w:val="32"/>
          <w:lang w:val="en-US" w:eastAsia="zh-CN"/>
          <w14:textFill>
            <w14:solidFill>
              <w14:schemeClr w14:val="tx1"/>
            </w14:solidFill>
          </w14:textFill>
        </w:rPr>
        <w:t>2</w:t>
      </w:r>
      <w:r>
        <w:rPr>
          <w:rFonts w:hint="eastAsia" w:ascii="仿宋_GB2312" w:hAnsi="宋体" w:eastAsia="仿宋_GB2312"/>
          <w:color w:val="000000" w:themeColor="text1"/>
          <w:sz w:val="32"/>
          <w:szCs w:val="32"/>
          <w:lang w:val="en-GB" w:eastAsia="zh-CN"/>
          <w14:textFill>
            <w14:solidFill>
              <w14:schemeClr w14:val="tx1"/>
            </w14:solidFill>
          </w14:textFill>
        </w:rPr>
        <w:t>号）。建设单位组织整改完成后，于202</w:t>
      </w:r>
      <w:r>
        <w:rPr>
          <w:rFonts w:hint="eastAsia" w:ascii="仿宋_GB2312" w:hAnsi="宋体" w:eastAsia="仿宋_GB2312"/>
          <w:color w:val="000000" w:themeColor="text1"/>
          <w:sz w:val="32"/>
          <w:szCs w:val="32"/>
          <w:lang w:val="en-US" w:eastAsia="zh-CN"/>
          <w14:textFill>
            <w14:solidFill>
              <w14:schemeClr w14:val="tx1"/>
            </w14:solidFill>
          </w14:textFill>
        </w:rPr>
        <w:t>3</w:t>
      </w:r>
      <w:r>
        <w:rPr>
          <w:rFonts w:hint="eastAsia" w:ascii="仿宋_GB2312" w:hAnsi="宋体" w:eastAsia="仿宋_GB2312"/>
          <w:color w:val="000000" w:themeColor="text1"/>
          <w:sz w:val="32"/>
          <w:szCs w:val="32"/>
          <w:lang w:val="en-GB" w:eastAsia="zh-CN"/>
          <w14:textFill>
            <w14:solidFill>
              <w14:schemeClr w14:val="tx1"/>
            </w14:solidFill>
          </w14:textFill>
        </w:rPr>
        <w:t>年</w:t>
      </w:r>
      <w:r>
        <w:rPr>
          <w:rFonts w:hint="eastAsia" w:ascii="仿宋_GB2312" w:hAnsi="宋体" w:eastAsia="仿宋_GB2312"/>
          <w:color w:val="000000" w:themeColor="text1"/>
          <w:sz w:val="32"/>
          <w:szCs w:val="32"/>
          <w:lang w:val="en-US" w:eastAsia="zh-CN"/>
          <w14:textFill>
            <w14:solidFill>
              <w14:schemeClr w14:val="tx1"/>
            </w14:solidFill>
          </w14:textFill>
        </w:rPr>
        <w:t>9</w:t>
      </w:r>
      <w:r>
        <w:rPr>
          <w:rFonts w:hint="eastAsia" w:ascii="仿宋_GB2312" w:hAnsi="宋体" w:eastAsia="仿宋_GB2312"/>
          <w:color w:val="000000" w:themeColor="text1"/>
          <w:sz w:val="32"/>
          <w:szCs w:val="32"/>
          <w:lang w:val="en-GB" w:eastAsia="zh-CN"/>
          <w14:textFill>
            <w14:solidFill>
              <w14:schemeClr w14:val="tx1"/>
            </w14:solidFill>
          </w14:textFill>
        </w:rPr>
        <w:t>月以《三明莆炎中仙高速公路有限公司关于上报莆炎高速中仙段竣工验收前质量检测外观缺陷修复情况抽查发现问题整改反馈的报告</w:t>
      </w:r>
      <w:r>
        <w:rPr>
          <w:rFonts w:hint="eastAsia" w:ascii="仿宋_GB2312" w:hAnsi="宋体" w:eastAsia="仿宋_GB2312"/>
          <w:color w:val="000000" w:themeColor="text1"/>
          <w:sz w:val="32"/>
          <w:szCs w:val="32"/>
          <w:lang w:val="en-US" w:eastAsia="zh-CN"/>
          <w14:textFill>
            <w14:solidFill>
              <w14:schemeClr w14:val="tx1"/>
            </w14:solidFill>
          </w14:textFill>
        </w:rPr>
        <w:t>》</w:t>
      </w:r>
      <w:r>
        <w:rPr>
          <w:rFonts w:hint="eastAsia" w:ascii="仿宋_GB2312" w:hAnsi="宋体" w:eastAsia="仿宋_GB2312"/>
          <w:color w:val="000000" w:themeColor="text1"/>
          <w:sz w:val="32"/>
          <w:szCs w:val="32"/>
          <w:lang w:val="en-GB" w:eastAsia="zh-CN"/>
          <w14:textFill>
            <w14:solidFill>
              <w14:schemeClr w14:val="tx1"/>
            </w14:solidFill>
          </w14:textFill>
        </w:rPr>
        <w:t>（明莆中工〔2023〕11号）</w:t>
      </w:r>
      <w:r>
        <w:rPr>
          <w:rFonts w:hint="eastAsia" w:ascii="仿宋_GB2312" w:hAnsi="宋体" w:eastAsia="仿宋_GB2312"/>
          <w:color w:val="000000" w:themeColor="text1"/>
          <w:sz w:val="32"/>
          <w:szCs w:val="32"/>
          <w:lang w:val="en-US" w:eastAsia="zh-CN"/>
          <w14:textFill>
            <w14:solidFill>
              <w14:schemeClr w14:val="tx1"/>
            </w14:solidFill>
          </w14:textFill>
        </w:rPr>
        <w:t>以及</w:t>
      </w:r>
      <w:r>
        <w:rPr>
          <w:rFonts w:hint="eastAsia" w:ascii="仿宋_GB2312" w:hAnsi="宋体" w:eastAsia="仿宋_GB2312"/>
          <w:color w:val="000000" w:themeColor="text1"/>
          <w:sz w:val="32"/>
          <w:szCs w:val="32"/>
          <w:lang w:val="en-GB" w:eastAsia="zh-CN"/>
          <w14:textFill>
            <w14:solidFill>
              <w14:schemeClr w14:val="tx1"/>
            </w14:solidFill>
          </w14:textFill>
        </w:rPr>
        <w:t>《三明莆炎中仙高速公路有限公司关于上报莆炎高速中仙段机电房建工程竣工验收前质量检测抽查发现问题整改反馈的报告</w:t>
      </w:r>
      <w:r>
        <w:rPr>
          <w:rFonts w:hint="eastAsia" w:ascii="仿宋_GB2312" w:hAnsi="宋体" w:eastAsia="仿宋_GB2312"/>
          <w:color w:val="000000" w:themeColor="text1"/>
          <w:sz w:val="32"/>
          <w:szCs w:val="32"/>
          <w:lang w:val="en-US" w:eastAsia="zh-CN"/>
          <w14:textFill>
            <w14:solidFill>
              <w14:schemeClr w14:val="tx1"/>
            </w14:solidFill>
          </w14:textFill>
        </w:rPr>
        <w:t>》</w:t>
      </w:r>
      <w:r>
        <w:rPr>
          <w:rFonts w:hint="eastAsia" w:ascii="仿宋_GB2312" w:hAnsi="宋体" w:eastAsia="仿宋_GB2312"/>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明莆中工〔2023〕</w:t>
      </w:r>
      <w:r>
        <w:rPr>
          <w:rFonts w:hint="eastAsia" w:ascii="仿宋_GB2312" w:hAnsi="宋体" w:eastAsia="仿宋_GB2312" w:cs="Times New Roman"/>
          <w:color w:val="000000" w:themeColor="text1"/>
          <w:kern w:val="2"/>
          <w:sz w:val="32"/>
          <w:szCs w:val="32"/>
          <w:lang w:val="en-US" w:eastAsia="zh-CN" w:bidi="ar-SA"/>
          <w14:textFill>
            <w14:solidFill>
              <w14:schemeClr w14:val="tx1"/>
            </w14:solidFill>
          </w14:textFill>
        </w:rPr>
        <w:t>13</w:t>
      </w:r>
      <w:r>
        <w:rPr>
          <w:rFonts w:hint="eastAsia" w:ascii="仿宋_GB2312" w:hAnsi="宋体" w:eastAsia="仿宋_GB2312" w:cs="Times New Roman"/>
          <w:color w:val="000000" w:themeColor="text1"/>
          <w:kern w:val="2"/>
          <w:sz w:val="32"/>
          <w:szCs w:val="32"/>
          <w:lang w:val="zh-CN" w:eastAsia="zh-CN" w:bidi="ar-SA"/>
          <w14:textFill>
            <w14:solidFill>
              <w14:schemeClr w14:val="tx1"/>
            </w14:solidFill>
          </w14:textFill>
        </w:rPr>
        <w:t>号</w:t>
      </w:r>
      <w:r>
        <w:rPr>
          <w:rFonts w:hint="eastAsia" w:ascii="仿宋_GB2312" w:hAnsi="宋体" w:eastAsia="仿宋_GB2312"/>
          <w:color w:val="000000" w:themeColor="text1"/>
          <w:sz w:val="32"/>
          <w:szCs w:val="32"/>
          <w:lang w:val="en-GB" w:eastAsia="zh-CN"/>
          <w14:textFill>
            <w14:solidFill>
              <w14:schemeClr w14:val="tx1"/>
            </w14:solidFill>
          </w14:textFill>
        </w:rPr>
        <w:t>）向我中心</w:t>
      </w:r>
      <w:r>
        <w:rPr>
          <w:rFonts w:hint="eastAsia" w:ascii="仿宋_GB2312" w:hAnsi="宋体" w:eastAsia="仿宋_GB2312"/>
          <w:color w:val="000000" w:themeColor="text1"/>
          <w:sz w:val="32"/>
          <w:szCs w:val="32"/>
          <w:lang w:val="zh-CN" w:eastAsia="zh-CN"/>
          <w14:textFill>
            <w14:solidFill>
              <w14:schemeClr w14:val="tx1"/>
            </w14:solidFill>
          </w14:textFill>
        </w:rPr>
        <w:t>进行反馈。</w:t>
      </w:r>
    </w:p>
    <w:p>
      <w:pPr>
        <w:keepNext w:val="0"/>
        <w:keepLines w:val="0"/>
        <w:pageBreakBefore w:val="0"/>
        <w:widowControl w:val="0"/>
        <w:kinsoku/>
        <w:wordWrap/>
        <w:overflowPunct/>
        <w:topLinePunct w:val="0"/>
        <w:autoSpaceDE w:val="0"/>
        <w:autoSpaceDN w:val="0"/>
        <w:bidi w:val="0"/>
        <w:adjustRightInd/>
        <w:snapToGrid/>
        <w:spacing w:line="596" w:lineRule="exact"/>
        <w:ind w:firstLine="640" w:firstLineChars="200"/>
        <w:textAlignment w:val="auto"/>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三、实体复测、外观检查、内业资料审查</w:t>
      </w:r>
    </w:p>
    <w:p>
      <w:pPr>
        <w:keepNext w:val="0"/>
        <w:keepLines w:val="0"/>
        <w:pageBreakBefore w:val="0"/>
        <w:widowControl w:val="0"/>
        <w:kinsoku/>
        <w:wordWrap/>
        <w:overflowPunct/>
        <w:topLinePunct w:val="0"/>
        <w:autoSpaceDE w:val="0"/>
        <w:autoSpaceDN w:val="0"/>
        <w:bidi w:val="0"/>
        <w:adjustRightInd/>
        <w:snapToGrid/>
        <w:spacing w:line="596" w:lineRule="exact"/>
        <w:ind w:firstLine="643" w:firstLineChars="200"/>
        <w:textAlignment w:val="auto"/>
        <w:outlineLvl w:val="0"/>
        <w:rPr>
          <w:rFonts w:ascii="楷体_GB2312" w:hAnsi="宋体" w:eastAsia="楷体_GB2312" w:cs="仿宋_GB2312"/>
          <w:b/>
          <w:bCs/>
          <w:color w:val="000000" w:themeColor="text1"/>
          <w:sz w:val="32"/>
          <w:szCs w:val="32"/>
          <w14:textFill>
            <w14:solidFill>
              <w14:schemeClr w14:val="tx1"/>
            </w14:solidFill>
          </w14:textFill>
        </w:rPr>
      </w:pPr>
      <w:r>
        <w:rPr>
          <w:rFonts w:hint="eastAsia" w:ascii="楷体_GB2312" w:hAnsi="宋体" w:eastAsia="楷体_GB2312" w:cs="仿宋_GB2312"/>
          <w:b/>
          <w:bCs/>
          <w:color w:val="000000" w:themeColor="text1"/>
          <w:sz w:val="32"/>
          <w:szCs w:val="32"/>
          <w:lang w:val="zh-CN"/>
          <w14:textFill>
            <w14:solidFill>
              <w14:schemeClr w14:val="tx1"/>
            </w14:solidFill>
          </w14:textFill>
        </w:rPr>
        <w:t>（一）实体复测</w:t>
      </w:r>
    </w:p>
    <w:p>
      <w:pPr>
        <w:keepNext w:val="0"/>
        <w:keepLines w:val="0"/>
        <w:pageBreakBefore w:val="0"/>
        <w:widowControl w:val="0"/>
        <w:kinsoku/>
        <w:wordWrap/>
        <w:overflowPunct/>
        <w:topLinePunct w:val="0"/>
        <w:bidi w:val="0"/>
        <w:adjustRightInd/>
        <w:snapToGrid/>
        <w:spacing w:line="596" w:lineRule="exact"/>
        <w:ind w:firstLine="640" w:firstLineChars="200"/>
        <w:textAlignment w:val="auto"/>
        <w:outlineLvl w:val="0"/>
        <w:rPr>
          <w:color w:val="000000" w:themeColor="text1"/>
          <w14:textFill>
            <w14:solidFill>
              <w14:schemeClr w14:val="tx1"/>
            </w14:solidFill>
          </w14:textFill>
        </w:rPr>
      </w:pPr>
      <w:r>
        <w:rPr>
          <w:rFonts w:hint="eastAsia" w:ascii="仿宋_GB2312" w:hAnsi="宋体" w:eastAsia="仿宋_GB2312"/>
          <w:color w:val="000000" w:themeColor="text1"/>
          <w:sz w:val="32"/>
          <w:szCs w:val="32"/>
          <w:lang w:val="en-GB"/>
          <w14:textFill>
            <w14:solidFill>
              <w14:schemeClr w14:val="tx1"/>
            </w14:solidFill>
          </w14:textFill>
        </w:rPr>
        <w:t>根据《公路工程竣（交）工验收办法实施细则》和</w:t>
      </w:r>
      <w:r>
        <w:rPr>
          <w:rFonts w:hint="eastAsia" w:ascii="仿宋_GB2312" w:hAnsi="宋体" w:eastAsia="仿宋_GB2312"/>
          <w:color w:val="000000" w:themeColor="text1"/>
          <w:sz w:val="32"/>
          <w:szCs w:val="32"/>
          <w:lang w:val="zh-CN"/>
          <w14:textFill>
            <w14:solidFill>
              <w14:schemeClr w14:val="tx1"/>
            </w14:solidFill>
          </w14:textFill>
        </w:rPr>
        <w:t>本</w:t>
      </w:r>
      <w:r>
        <w:rPr>
          <w:rFonts w:hint="eastAsia" w:ascii="仿宋_GB2312" w:hAnsi="宋体" w:eastAsia="仿宋_GB2312"/>
          <w:color w:val="000000" w:themeColor="text1"/>
          <w:sz w:val="32"/>
          <w:szCs w:val="32"/>
          <w:lang w:val="en-GB"/>
          <w14:textFill>
            <w14:solidFill>
              <w14:schemeClr w14:val="tx1"/>
            </w14:solidFill>
          </w14:textFill>
        </w:rPr>
        <w:t>项目竣工质量鉴定工作方案，检测单位对实体复测指标实施了复测，见表1。</w:t>
      </w:r>
      <w:bookmarkEnd w:id="0"/>
    </w:p>
    <w:p>
      <w:pPr>
        <w:keepNext w:val="0"/>
        <w:keepLines w:val="0"/>
        <w:pageBreakBefore w:val="0"/>
        <w:widowControl w:val="0"/>
        <w:tabs>
          <w:tab w:val="left" w:pos="855"/>
        </w:tabs>
        <w:kinsoku/>
        <w:wordWrap/>
        <w:overflowPunct/>
        <w:topLinePunct w:val="0"/>
        <w:autoSpaceDE/>
        <w:autoSpaceDN/>
        <w:bidi w:val="0"/>
        <w:adjustRightInd/>
        <w:snapToGrid/>
        <w:spacing w:after="95" w:afterLines="30" w:line="590" w:lineRule="exact"/>
        <w:jc w:val="center"/>
        <w:textAlignment w:val="auto"/>
        <w:outlineLvl w:val="9"/>
        <w:rPr>
          <w:rFonts w:hint="eastAsia"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14:textFill>
            <w14:solidFill>
              <w14:schemeClr w14:val="tx1"/>
            </w14:solidFill>
          </w14:textFill>
        </w:rPr>
        <w:t>表1  竣工复测结果表</w:t>
      </w:r>
    </w:p>
    <w:tbl>
      <w:tblPr>
        <w:tblStyle w:val="11"/>
        <w:tblW w:w="84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4110"/>
        <w:gridCol w:w="1325"/>
        <w:gridCol w:w="19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r>
              <w:rPr>
                <w:rFonts w:hint="eastAsia" w:ascii="仿宋_GB2312" w:hAnsi="宋体" w:eastAsia="仿宋_GB2312" w:cs="Times New Roman"/>
                <w:b/>
                <w:bCs/>
                <w:color w:val="000000" w:themeColor="text1"/>
                <w:sz w:val="24"/>
                <w:lang w:val="en-GB"/>
                <w14:textFill>
                  <w14:solidFill>
                    <w14:schemeClr w14:val="tx1"/>
                  </w14:solidFill>
                </w14:textFill>
              </w:rPr>
              <w:t>合同段</w:t>
            </w:r>
          </w:p>
        </w:tc>
        <w:tc>
          <w:tcPr>
            <w:tcW w:w="4110" w:type="dxa"/>
            <w:vMerge w:val="restart"/>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r>
              <w:rPr>
                <w:rFonts w:hint="eastAsia" w:ascii="仿宋_GB2312" w:hAnsi="宋体" w:eastAsia="仿宋_GB2312" w:cs="Times New Roman"/>
                <w:b/>
                <w:bCs/>
                <w:color w:val="000000" w:themeColor="text1"/>
                <w:sz w:val="24"/>
                <w:lang w:val="en-GB"/>
                <w14:textFill>
                  <w14:solidFill>
                    <w14:schemeClr w14:val="tx1"/>
                  </w14:solidFill>
                </w14:textFill>
              </w:rPr>
              <w:t>检测项目</w:t>
            </w:r>
          </w:p>
        </w:tc>
        <w:tc>
          <w:tcPr>
            <w:tcW w:w="3261" w:type="dxa"/>
            <w:gridSpan w:val="2"/>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r>
              <w:rPr>
                <w:rFonts w:hint="eastAsia" w:ascii="仿宋_GB2312" w:hAnsi="宋体" w:eastAsia="仿宋_GB2312" w:cs="Times New Roman"/>
                <w:b/>
                <w:bCs/>
                <w:color w:val="000000" w:themeColor="text1"/>
                <w:sz w:val="24"/>
                <w:lang w:val="en-GB"/>
                <w14:textFill>
                  <w14:solidFill>
                    <w14:schemeClr w14:val="tx1"/>
                  </w14:solidFill>
                </w14:textFill>
              </w:rPr>
              <w:t>复测结果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p>
        </w:tc>
        <w:tc>
          <w:tcPr>
            <w:tcW w:w="4110" w:type="dxa"/>
            <w:vMerge w:val="continue"/>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p>
        </w:tc>
        <w:tc>
          <w:tcPr>
            <w:tcW w:w="1325" w:type="dxa"/>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r>
              <w:rPr>
                <w:rFonts w:hint="eastAsia" w:ascii="仿宋_GB2312" w:hAnsi="宋体" w:eastAsia="仿宋_GB2312" w:cs="Times New Roman"/>
                <w:b/>
                <w:bCs/>
                <w:color w:val="000000" w:themeColor="text1"/>
                <w:sz w:val="24"/>
                <w:lang w:val="en-GB"/>
                <w14:textFill>
                  <w14:solidFill>
                    <w14:schemeClr w14:val="tx1"/>
                  </w14:solidFill>
                </w14:textFill>
              </w:rPr>
              <w:t>平均值</w:t>
            </w:r>
          </w:p>
        </w:tc>
        <w:tc>
          <w:tcPr>
            <w:tcW w:w="1936" w:type="dxa"/>
            <w:vAlign w:val="center"/>
          </w:tcPr>
          <w:p>
            <w:pPr>
              <w:tabs>
                <w:tab w:val="left" w:pos="855"/>
              </w:tabs>
              <w:ind w:firstLine="0" w:firstLineChars="0"/>
              <w:jc w:val="center"/>
              <w:rPr>
                <w:rFonts w:hint="eastAsia" w:ascii="仿宋_GB2312" w:hAnsi="宋体" w:eastAsia="仿宋_GB2312" w:cs="Times New Roman"/>
                <w:b/>
                <w:bCs/>
                <w:color w:val="000000" w:themeColor="text1"/>
                <w:sz w:val="24"/>
                <w:lang w:val="en-GB"/>
                <w14:textFill>
                  <w14:solidFill>
                    <w14:schemeClr w14:val="tx1"/>
                  </w14:solidFill>
                </w14:textFill>
              </w:rPr>
            </w:pPr>
            <w:r>
              <w:rPr>
                <w:rFonts w:hint="eastAsia" w:ascii="仿宋_GB2312" w:hAnsi="宋体" w:eastAsia="仿宋_GB2312" w:cs="Times New Roman"/>
                <w:b/>
                <w:bCs/>
                <w:color w:val="000000" w:themeColor="text1"/>
                <w:sz w:val="24"/>
                <w:lang w:val="en-GB"/>
                <w14:textFill>
                  <w14:solidFill>
                    <w14:schemeClr w14:val="tx1"/>
                  </w14:solidFill>
                </w14:textFill>
              </w:rPr>
              <w:t>合格率(%)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B1</w:t>
            </w:r>
          </w:p>
        </w:tc>
        <w:tc>
          <w:tcPr>
            <w:tcW w:w="4110"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沥青路面弯沉(0.01mm)</w:t>
            </w:r>
          </w:p>
        </w:tc>
        <w:tc>
          <w:tcPr>
            <w:tcW w:w="1325"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US" w:eastAsia="zh-CN"/>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18.54</w:t>
            </w:r>
          </w:p>
        </w:tc>
        <w:tc>
          <w:tcPr>
            <w:tcW w:w="1936"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p>
        </w:tc>
        <w:tc>
          <w:tcPr>
            <w:tcW w:w="4110"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沥青路面车辙(mm)</w:t>
            </w:r>
          </w:p>
        </w:tc>
        <w:tc>
          <w:tcPr>
            <w:tcW w:w="1325"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6.01</w:t>
            </w:r>
          </w:p>
        </w:tc>
        <w:tc>
          <w:tcPr>
            <w:tcW w:w="1936" w:type="dxa"/>
            <w:vAlign w:val="center"/>
          </w:tcPr>
          <w:p>
            <w:pPr>
              <w:tabs>
                <w:tab w:val="left" w:pos="855"/>
              </w:tabs>
              <w:ind w:firstLine="0" w:firstLineChars="0"/>
              <w:jc w:val="center"/>
              <w:rPr>
                <w:rFonts w:hint="default" w:ascii="仿宋_GB2312" w:hAnsi="宋体" w:eastAsia="仿宋_GB2312" w:cs="Times New Roman"/>
                <w:color w:val="000000" w:themeColor="text1"/>
                <w:sz w:val="24"/>
                <w:lang w:val="en-US" w:eastAsia="zh-CN"/>
                <w14:textFill>
                  <w14:solidFill>
                    <w14:schemeClr w14:val="tx1"/>
                  </w14:solidFill>
                </w14:textFill>
              </w:rPr>
            </w:pPr>
            <w:r>
              <w:rPr>
                <w:rFonts w:hint="eastAsia" w:ascii="仿宋_GB2312" w:hAnsi="宋体" w:eastAsia="仿宋_GB2312" w:cs="Times New Roman"/>
                <w:color w:val="000000" w:themeColor="text1"/>
                <w:sz w:val="24"/>
                <w:lang w:val="en-US" w:eastAsia="zh-CN"/>
                <w14:textFill>
                  <w14:solidFill>
                    <w14:schemeClr w14:val="tx1"/>
                  </w14:solidFill>
                </w14:textFill>
              </w:rPr>
              <w:t>82.4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p>
        </w:tc>
        <w:tc>
          <w:tcPr>
            <w:tcW w:w="4110"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沥青路面平整度σ(mm)</w:t>
            </w:r>
          </w:p>
        </w:tc>
        <w:tc>
          <w:tcPr>
            <w:tcW w:w="1325"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0.76</w:t>
            </w:r>
          </w:p>
        </w:tc>
        <w:tc>
          <w:tcPr>
            <w:tcW w:w="1936" w:type="dxa"/>
            <w:vAlign w:val="center"/>
          </w:tcPr>
          <w:p>
            <w:pPr>
              <w:tabs>
                <w:tab w:val="left" w:pos="855"/>
              </w:tabs>
              <w:ind w:firstLine="0" w:firstLineChars="0"/>
              <w:jc w:val="center"/>
              <w:rPr>
                <w:rFonts w:hint="default" w:ascii="仿宋_GB2312" w:hAnsi="宋体" w:eastAsia="仿宋_GB2312" w:cs="Times New Roman"/>
                <w:color w:val="000000" w:themeColor="text1"/>
                <w:sz w:val="24"/>
                <w:lang w:val="en-US" w:eastAsia="zh-CN"/>
                <w14:textFill>
                  <w14:solidFill>
                    <w14:schemeClr w14:val="tx1"/>
                  </w14:solidFill>
                </w14:textFill>
              </w:rPr>
            </w:pPr>
            <w:r>
              <w:rPr>
                <w:rFonts w:hint="eastAsia" w:ascii="仿宋_GB2312" w:hAnsi="宋体" w:eastAsia="仿宋_GB2312" w:cs="Times New Roman"/>
                <w:color w:val="000000" w:themeColor="text1"/>
                <w:sz w:val="24"/>
                <w:lang w:val="en-US" w:eastAsia="zh-CN"/>
                <w14:textFill>
                  <w14:solidFill>
                    <w14:schemeClr w14:val="tx1"/>
                  </w14:solidFill>
                </w14:textFill>
              </w:rPr>
              <w:t>99.5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p>
        </w:tc>
        <w:tc>
          <w:tcPr>
            <w:tcW w:w="4110"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沥青路面抗滑构造深度(mm)</w:t>
            </w:r>
          </w:p>
        </w:tc>
        <w:tc>
          <w:tcPr>
            <w:tcW w:w="1325"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0.7</w:t>
            </w:r>
          </w:p>
        </w:tc>
        <w:tc>
          <w:tcPr>
            <w:tcW w:w="1936" w:type="dxa"/>
            <w:vAlign w:val="center"/>
          </w:tcPr>
          <w:p>
            <w:pPr>
              <w:tabs>
                <w:tab w:val="left" w:pos="855"/>
              </w:tabs>
              <w:ind w:firstLine="0" w:firstLineChars="0"/>
              <w:jc w:val="center"/>
              <w:rPr>
                <w:rFonts w:hint="default" w:ascii="仿宋_GB2312" w:hAnsi="宋体" w:eastAsia="仿宋_GB2312" w:cs="Times New Roman"/>
                <w:color w:val="000000" w:themeColor="text1"/>
                <w:sz w:val="24"/>
                <w:lang w:val="en-US" w:eastAsia="zh-CN"/>
                <w14:textFill>
                  <w14:solidFill>
                    <w14:schemeClr w14:val="tx1"/>
                  </w14:solidFill>
                </w14:textFill>
              </w:rPr>
            </w:pPr>
            <w:r>
              <w:rPr>
                <w:rFonts w:hint="eastAsia" w:ascii="仿宋_GB2312" w:hAnsi="宋体" w:eastAsia="仿宋_GB2312" w:cs="Times New Roman"/>
                <w:color w:val="000000" w:themeColor="text1"/>
                <w:sz w:val="24"/>
                <w:lang w:val="en-US" w:eastAsia="zh-CN"/>
                <w14:textFill>
                  <w14:solidFill>
                    <w14:schemeClr w14:val="tx1"/>
                  </w14:solidFill>
                </w14:textFill>
              </w:rPr>
              <w:t>98.0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p>
        </w:tc>
        <w:tc>
          <w:tcPr>
            <w:tcW w:w="4110"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路面抗滑横向力系数(SFC60)</w:t>
            </w:r>
          </w:p>
        </w:tc>
        <w:tc>
          <w:tcPr>
            <w:tcW w:w="1325" w:type="dxa"/>
            <w:vAlign w:val="center"/>
          </w:tcPr>
          <w:p>
            <w:pPr>
              <w:tabs>
                <w:tab w:val="left" w:pos="855"/>
              </w:tabs>
              <w:ind w:firstLine="0" w:firstLineChars="0"/>
              <w:jc w:val="center"/>
              <w:rPr>
                <w:rFonts w:hint="eastAsia" w:ascii="仿宋_GB2312" w:hAnsi="宋体" w:eastAsia="仿宋_GB2312" w:cs="Times New Roman"/>
                <w:color w:val="000000" w:themeColor="text1"/>
                <w:sz w:val="24"/>
                <w:lang w:val="en-GB"/>
                <w14:textFill>
                  <w14:solidFill>
                    <w14:schemeClr w14:val="tx1"/>
                  </w14:solidFill>
                </w14:textFill>
              </w:rPr>
            </w:pPr>
            <w:r>
              <w:rPr>
                <w:rFonts w:hint="eastAsia" w:ascii="仿宋_GB2312" w:hAnsi="宋体" w:eastAsia="仿宋_GB2312" w:cs="Times New Roman"/>
                <w:color w:val="000000" w:themeColor="text1"/>
                <w:sz w:val="24"/>
                <w:lang w:val="en-GB"/>
                <w14:textFill>
                  <w14:solidFill>
                    <w14:schemeClr w14:val="tx1"/>
                  </w14:solidFill>
                </w14:textFill>
              </w:rPr>
              <w:t>59.7</w:t>
            </w:r>
          </w:p>
        </w:tc>
        <w:tc>
          <w:tcPr>
            <w:tcW w:w="1936" w:type="dxa"/>
            <w:vAlign w:val="center"/>
          </w:tcPr>
          <w:p>
            <w:pPr>
              <w:tabs>
                <w:tab w:val="left" w:pos="855"/>
              </w:tabs>
              <w:ind w:firstLine="0" w:firstLineChars="0"/>
              <w:jc w:val="center"/>
              <w:rPr>
                <w:rFonts w:hint="default" w:ascii="仿宋_GB2312" w:hAnsi="宋体" w:eastAsia="仿宋_GB2312" w:cs="Times New Roman"/>
                <w:color w:val="000000" w:themeColor="text1"/>
                <w:sz w:val="24"/>
                <w:lang w:val="en-US" w:eastAsia="zh-CN"/>
                <w14:textFill>
                  <w14:solidFill>
                    <w14:schemeClr w14:val="tx1"/>
                  </w14:solidFill>
                </w14:textFill>
              </w:rPr>
            </w:pPr>
            <w:r>
              <w:rPr>
                <w:rFonts w:hint="eastAsia" w:ascii="仿宋_GB2312" w:hAnsi="宋体" w:eastAsia="仿宋_GB2312" w:cs="Times New Roman"/>
                <w:color w:val="000000" w:themeColor="text1"/>
                <w:sz w:val="24"/>
                <w:lang w:val="en-US" w:eastAsia="zh-CN"/>
                <w14:textFill>
                  <w14:solidFill>
                    <w14:schemeClr w14:val="tx1"/>
                  </w14:solidFill>
                </w14:textFill>
              </w:rPr>
              <w:t>89.3</w:t>
            </w:r>
          </w:p>
        </w:tc>
      </w:tr>
    </w:tbl>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0"/>
        <w:rPr>
          <w:rFonts w:hint="eastAsia" w:ascii="仿宋_GB2312" w:hAnsi="宋体" w:eastAsia="仿宋_GB2312" w:cs="Times New Roman"/>
          <w:color w:val="FF0000"/>
          <w:sz w:val="32"/>
          <w:szCs w:val="32"/>
          <w:lang w:val="en-US" w:eastAsia="zh-CN"/>
        </w:rPr>
      </w:pPr>
      <w:r>
        <w:rPr>
          <w:rFonts w:hint="eastAsia" w:ascii="仿宋_GB2312" w:hAnsi="宋体" w:eastAsia="仿宋_GB2312" w:cs="Times New Roman"/>
          <w:color w:val="000000" w:themeColor="text1"/>
          <w:sz w:val="32"/>
          <w:szCs w:val="32"/>
          <w:lang w:val="zh-CN"/>
          <w14:textFill>
            <w14:solidFill>
              <w14:schemeClr w14:val="tx1"/>
            </w14:solidFill>
          </w14:textFill>
        </w:rPr>
        <w:t>以上复测指标中，沥青路面弯沉、平整度、路面抗滑构造深度等指标合格率均大于等于90%，基本保持稳定，路面横向力系数合格率有所衰减。</w:t>
      </w:r>
      <w:r>
        <w:rPr>
          <w:rFonts w:hint="eastAsia" w:ascii="仿宋_GB2312" w:hAnsi="宋体" w:eastAsia="仿宋_GB2312" w:cs="Times New Roman"/>
          <w:color w:val="000000" w:themeColor="text1"/>
          <w:sz w:val="32"/>
          <w:szCs w:val="32"/>
          <w:lang w:val="en-GB"/>
          <w14:textFill>
            <w14:solidFill>
              <w14:schemeClr w14:val="tx1"/>
            </w14:solidFill>
          </w14:textFill>
        </w:rPr>
        <w:t>针对</w:t>
      </w:r>
      <w:r>
        <w:rPr>
          <w:rFonts w:hint="eastAsia" w:ascii="仿宋_GB2312" w:hAnsi="宋体" w:eastAsia="仿宋_GB2312" w:cs="Times New Roman"/>
          <w:color w:val="000000" w:themeColor="text1"/>
          <w:sz w:val="32"/>
          <w:szCs w:val="32"/>
          <w:lang w:val="en-US" w:eastAsia="zh-CN"/>
          <w14:textFill>
            <w14:solidFill>
              <w14:schemeClr w14:val="tx1"/>
            </w14:solidFill>
          </w14:textFill>
        </w:rPr>
        <w:t>本项目沥青路面存在</w:t>
      </w:r>
      <w:r>
        <w:rPr>
          <w:rFonts w:hint="eastAsia" w:ascii="仿宋_GB2312" w:hAnsi="宋体" w:eastAsia="仿宋_GB2312" w:cs="Times New Roman"/>
          <w:color w:val="000000" w:themeColor="text1"/>
          <w:sz w:val="32"/>
          <w:szCs w:val="32"/>
          <w:lang w:val="zh-CN"/>
          <w14:textFill>
            <w14:solidFill>
              <w14:schemeClr w14:val="tx1"/>
            </w14:solidFill>
          </w14:textFill>
        </w:rPr>
        <w:t>车辙</w:t>
      </w:r>
      <w:r>
        <w:rPr>
          <w:rFonts w:hint="eastAsia" w:ascii="仿宋_GB2312" w:hAnsi="宋体" w:eastAsia="仿宋_GB2312" w:cs="Times New Roman"/>
          <w:color w:val="000000" w:themeColor="text1"/>
          <w:sz w:val="32"/>
          <w:szCs w:val="32"/>
          <w:lang w:val="en-US" w:eastAsia="zh-CN"/>
          <w14:textFill>
            <w14:solidFill>
              <w14:schemeClr w14:val="tx1"/>
            </w14:solidFill>
          </w14:textFill>
        </w:rPr>
        <w:t>问题，建设单位对现场车辙段落全部铣刨重铺，并于2023年9月组织相关参建单位召开专家分析论证会，专家组与设计、监理单位一致认为，修复后路面车辙性能可满足运营要求，不影响运营安全性、结构承载能力和耐久性。</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textAlignment w:val="auto"/>
        <w:outlineLvl w:val="9"/>
        <w:rPr>
          <w:rFonts w:ascii="楷体_GB2312" w:hAnsi="宋体" w:eastAsia="楷体_GB2312" w:cs="仿宋_GB2312"/>
          <w:b/>
          <w:bCs/>
          <w:color w:val="000000" w:themeColor="text1"/>
          <w:sz w:val="32"/>
          <w:szCs w:val="32"/>
          <w14:textFill>
            <w14:solidFill>
              <w14:schemeClr w14:val="tx1"/>
            </w14:solidFill>
          </w14:textFill>
        </w:rPr>
      </w:pPr>
      <w:r>
        <w:rPr>
          <w:rFonts w:hint="eastAsia" w:ascii="楷体_GB2312" w:hAnsi="宋体" w:eastAsia="楷体_GB2312" w:cs="仿宋_GB2312"/>
          <w:b/>
          <w:bCs/>
          <w:color w:val="000000" w:themeColor="text1"/>
          <w:sz w:val="32"/>
          <w:szCs w:val="32"/>
          <w:lang w:eastAsia="zh-CN"/>
          <w14:textFill>
            <w14:solidFill>
              <w14:schemeClr w14:val="tx1"/>
            </w14:solidFill>
          </w14:textFill>
        </w:rPr>
        <w:t>（二）</w:t>
      </w:r>
      <w:r>
        <w:rPr>
          <w:rFonts w:hint="eastAsia" w:ascii="楷体_GB2312" w:hAnsi="宋体" w:eastAsia="楷体_GB2312" w:cs="仿宋_GB2312"/>
          <w:b/>
          <w:bCs/>
          <w:color w:val="000000" w:themeColor="text1"/>
          <w:sz w:val="32"/>
          <w:szCs w:val="32"/>
          <w14:textFill>
            <w14:solidFill>
              <w14:schemeClr w14:val="tx1"/>
            </w14:solidFill>
          </w14:textFill>
        </w:rPr>
        <w:t>外观检查</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outlineLvl w:val="0"/>
        <w:rPr>
          <w:rFonts w:hint="eastAsia" w:ascii="仿宋_GB2312" w:hAnsi="宋体" w:eastAsia="仿宋_GB2312"/>
          <w:color w:val="000000" w:themeColor="text1"/>
          <w:sz w:val="32"/>
          <w:szCs w:val="32"/>
          <w:lang w:val="en-GB" w:eastAsia="zh-CN"/>
          <w14:textFill>
            <w14:solidFill>
              <w14:schemeClr w14:val="tx1"/>
            </w14:solidFill>
          </w14:textFill>
        </w:rPr>
      </w:pPr>
      <w:r>
        <w:rPr>
          <w:rFonts w:hint="eastAsia" w:ascii="仿宋_GB2312" w:hAnsi="宋体" w:eastAsia="仿宋_GB2312"/>
          <w:color w:val="000000" w:themeColor="text1"/>
          <w:sz w:val="32"/>
          <w:szCs w:val="32"/>
          <w:lang w:val="en-GB"/>
          <w14:textFill>
            <w14:solidFill>
              <w14:schemeClr w14:val="tx1"/>
            </w14:solidFill>
          </w14:textFill>
        </w:rPr>
        <w:t>根据《公路工程竣（交）工验收办法实施细则》和</w:t>
      </w:r>
      <w:r>
        <w:rPr>
          <w:rFonts w:hint="eastAsia" w:ascii="仿宋_GB2312" w:hAnsi="宋体" w:eastAsia="仿宋_GB2312"/>
          <w:color w:val="000000" w:themeColor="text1"/>
          <w:sz w:val="32"/>
          <w:szCs w:val="32"/>
          <w:lang w:val="en-US" w:eastAsia="zh-CN"/>
          <w14:textFill>
            <w14:solidFill>
              <w14:schemeClr w14:val="tx1"/>
            </w14:solidFill>
          </w14:textFill>
        </w:rPr>
        <w:t>该</w:t>
      </w:r>
      <w:r>
        <w:rPr>
          <w:rFonts w:hint="eastAsia" w:ascii="仿宋_GB2312" w:hAnsi="宋体" w:eastAsia="仿宋_GB2312"/>
          <w:color w:val="000000" w:themeColor="text1"/>
          <w:sz w:val="32"/>
          <w:szCs w:val="32"/>
          <w:lang w:val="en-GB"/>
          <w14:textFill>
            <w14:solidFill>
              <w14:schemeClr w14:val="tx1"/>
            </w14:solidFill>
          </w14:textFill>
        </w:rPr>
        <w:t>项目竣工质量鉴定工作方案，检测单位对全线路基、桥梁、隧道、路面、交安设施、机电等工程按规定进行了外观</w:t>
      </w:r>
      <w:r>
        <w:rPr>
          <w:rFonts w:hint="eastAsia" w:ascii="仿宋_GB2312" w:hAnsi="宋体" w:eastAsia="仿宋_GB2312"/>
          <w:color w:val="000000" w:themeColor="text1"/>
          <w:sz w:val="32"/>
          <w:szCs w:val="32"/>
          <w:lang w:val="en-GB" w:eastAsia="zh-CN"/>
          <w14:textFill>
            <w14:solidFill>
              <w14:schemeClr w14:val="tx1"/>
            </w14:solidFill>
          </w14:textFill>
        </w:rPr>
        <w:t>检查</w:t>
      </w:r>
      <w:r>
        <w:rPr>
          <w:rFonts w:hint="eastAsia" w:ascii="仿宋_GB2312" w:hAnsi="宋体" w:eastAsia="仿宋_GB2312"/>
          <w:color w:val="000000" w:themeColor="text1"/>
          <w:sz w:val="32"/>
          <w:szCs w:val="32"/>
          <w:lang w:val="en-GB"/>
          <w14:textFill>
            <w14:solidFill>
              <w14:schemeClr w14:val="tx1"/>
            </w14:solidFill>
          </w14:textFill>
        </w:rPr>
        <w:t>。简要情况见表2</w:t>
      </w:r>
      <w:r>
        <w:rPr>
          <w:rFonts w:hint="eastAsia" w:ascii="仿宋_GB2312" w:hAnsi="宋体" w:eastAsia="仿宋_GB2312"/>
          <w:color w:val="000000" w:themeColor="text1"/>
          <w:sz w:val="32"/>
          <w:szCs w:val="32"/>
          <w:lang w:val="en-GB" w:eastAsia="zh-CN"/>
          <w14:textFill>
            <w14:solidFill>
              <w14:schemeClr w14:val="tx1"/>
            </w14:solidFill>
          </w14:textFill>
        </w:rPr>
        <w:t>。</w:t>
      </w:r>
    </w:p>
    <w:p>
      <w:pPr>
        <w:keepNext w:val="0"/>
        <w:keepLines w:val="0"/>
        <w:pageBreakBefore w:val="0"/>
        <w:widowControl w:val="0"/>
        <w:tabs>
          <w:tab w:val="left" w:pos="855"/>
        </w:tabs>
        <w:kinsoku/>
        <w:wordWrap/>
        <w:overflowPunct/>
        <w:topLinePunct w:val="0"/>
        <w:autoSpaceDE/>
        <w:autoSpaceDN/>
        <w:bidi w:val="0"/>
        <w:adjustRightInd/>
        <w:snapToGrid/>
        <w:spacing w:after="93" w:afterLines="30" w:line="590" w:lineRule="exact"/>
        <w:jc w:val="center"/>
        <w:textAlignment w:val="auto"/>
        <w:outlineLvl w:val="9"/>
        <w:rPr>
          <w:rFonts w:hint="eastAsia" w:ascii="仿宋_GB2312" w:hAnsi="仿宋_GB2312" w:eastAsia="仿宋_GB2312" w:cs="仿宋_GB2312"/>
          <w:b/>
          <w:bCs/>
          <w:color w:val="000000" w:themeColor="text1"/>
          <w:sz w:val="32"/>
          <w:szCs w:val="32"/>
          <w:lang w:val="en-GB"/>
          <w14:textFill>
            <w14:solidFill>
              <w14:schemeClr w14:val="tx1"/>
            </w14:solidFill>
          </w14:textFill>
        </w:rPr>
      </w:pPr>
      <w:r>
        <w:rPr>
          <w:rFonts w:hint="eastAsia" w:ascii="仿宋_GB2312" w:hAnsi="仿宋_GB2312" w:eastAsia="仿宋_GB2312" w:cs="仿宋_GB2312"/>
          <w:b/>
          <w:bCs/>
          <w:color w:val="000000" w:themeColor="text1"/>
          <w:sz w:val="28"/>
          <w:szCs w:val="28"/>
          <w:lang w:val="zh-CN"/>
          <w14:textFill>
            <w14:solidFill>
              <w14:schemeClr w14:val="tx1"/>
            </w14:solidFill>
          </w14:textFill>
        </w:rPr>
        <w:t>表</w:t>
      </w:r>
      <w:r>
        <w:rPr>
          <w:rFonts w:hint="eastAsia" w:ascii="仿宋_GB2312" w:hAnsi="仿宋_GB2312" w:eastAsia="仿宋_GB2312" w:cs="仿宋_GB2312"/>
          <w:b/>
          <w:bCs/>
          <w:color w:val="000000" w:themeColor="text1"/>
          <w:sz w:val="28"/>
          <w:szCs w:val="28"/>
          <w:lang w:val="en-GB"/>
          <w14:textFill>
            <w14:solidFill>
              <w14:schemeClr w14:val="tx1"/>
            </w14:solidFill>
          </w14:textFill>
        </w:rPr>
        <w:t>2  工程外观质量检查情况表</w:t>
      </w:r>
    </w:p>
    <w:tbl>
      <w:tblPr>
        <w:tblStyle w:val="11"/>
        <w:tblW w:w="8660" w:type="dxa"/>
        <w:tblInd w:w="0" w:type="dxa"/>
        <w:tblLayout w:type="fixed"/>
        <w:tblCellMar>
          <w:top w:w="0" w:type="dxa"/>
          <w:left w:w="0" w:type="dxa"/>
          <w:bottom w:w="0" w:type="dxa"/>
          <w:right w:w="0" w:type="dxa"/>
        </w:tblCellMar>
      </w:tblPr>
      <w:tblGrid>
        <w:gridCol w:w="704"/>
        <w:gridCol w:w="688"/>
        <w:gridCol w:w="3898"/>
        <w:gridCol w:w="3370"/>
      </w:tblGrid>
      <w:tr>
        <w:tblPrEx>
          <w:tblLayout w:type="fixed"/>
          <w:tblCellMar>
            <w:top w:w="0" w:type="dxa"/>
            <w:left w:w="0" w:type="dxa"/>
            <w:bottom w:w="0" w:type="dxa"/>
            <w:right w:w="0" w:type="dxa"/>
          </w:tblCellMar>
        </w:tblPrEx>
        <w:trPr>
          <w:trHeight w:val="387" w:hRule="atLeast"/>
        </w:trPr>
        <w:tc>
          <w:tcPr>
            <w:tcW w:w="704"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序号</w:t>
            </w:r>
          </w:p>
        </w:tc>
        <w:tc>
          <w:tcPr>
            <w:tcW w:w="688"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检查项目</w:t>
            </w:r>
          </w:p>
        </w:tc>
        <w:tc>
          <w:tcPr>
            <w:tcW w:w="3898"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外观描述</w:t>
            </w:r>
          </w:p>
        </w:tc>
        <w:tc>
          <w:tcPr>
            <w:tcW w:w="337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color w:val="000000" w:themeColor="text1"/>
                <w:sz w:val="24"/>
                <w:lang w:val="zh-CN"/>
                <w14:textFill>
                  <w14:solidFill>
                    <w14:schemeClr w14:val="tx1"/>
                  </w14:solidFill>
                </w14:textFill>
              </w:rPr>
            </w:pPr>
            <w:r>
              <w:rPr>
                <w:rFonts w:hint="eastAsia" w:ascii="仿宋_GB2312" w:hAnsi="仿宋_GB2312" w:eastAsia="仿宋_GB2312" w:cs="仿宋_GB2312"/>
                <w:b/>
                <w:bCs/>
                <w:color w:val="000000" w:themeColor="text1"/>
                <w:sz w:val="24"/>
                <w14:textFill>
                  <w14:solidFill>
                    <w14:schemeClr w14:val="tx1"/>
                  </w14:solidFill>
                </w14:textFill>
              </w:rPr>
              <w:t>存在问题</w:t>
            </w:r>
          </w:p>
        </w:tc>
      </w:tr>
      <w:tr>
        <w:tblPrEx>
          <w:tblLayout w:type="fixed"/>
          <w:tblCellMar>
            <w:top w:w="0" w:type="dxa"/>
            <w:left w:w="0" w:type="dxa"/>
            <w:bottom w:w="0" w:type="dxa"/>
            <w:right w:w="0" w:type="dxa"/>
          </w:tblCellMar>
        </w:tblPrEx>
        <w:trPr>
          <w:trHeight w:val="387" w:hRule="atLeast"/>
        </w:trPr>
        <w:tc>
          <w:tcPr>
            <w:tcW w:w="704"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仿宋_GB2312" w:hAnsi="仿宋_GB2312" w:eastAsia="仿宋_GB2312" w:cs="仿宋_GB2312"/>
                <w:color w:val="000000" w:themeColor="text1"/>
                <w:sz w:val="24"/>
                <w:lang w:val="zh-CN"/>
                <w14:textFill>
                  <w14:solidFill>
                    <w14:schemeClr w14:val="tx1"/>
                  </w14:solidFill>
                </w14:textFill>
              </w:rPr>
            </w:pPr>
          </w:p>
        </w:tc>
        <w:tc>
          <w:tcPr>
            <w:tcW w:w="688"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仿宋_GB2312" w:hAnsi="仿宋_GB2312" w:eastAsia="仿宋_GB2312" w:cs="仿宋_GB2312"/>
                <w:color w:val="000000" w:themeColor="text1"/>
                <w:sz w:val="24"/>
                <w:lang w:val="zh-CN"/>
                <w14:textFill>
                  <w14:solidFill>
                    <w14:schemeClr w14:val="tx1"/>
                  </w14:solidFill>
                </w14:textFill>
              </w:rPr>
            </w:pPr>
          </w:p>
        </w:tc>
        <w:tc>
          <w:tcPr>
            <w:tcW w:w="3898"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仿宋_GB2312" w:hAnsi="仿宋_GB2312" w:eastAsia="仿宋_GB2312" w:cs="仿宋_GB2312"/>
                <w:color w:val="000000" w:themeColor="text1"/>
                <w:sz w:val="24"/>
                <w:lang w:val="zh-CN"/>
                <w14:textFill>
                  <w14:solidFill>
                    <w14:schemeClr w14:val="tx1"/>
                  </w14:solidFill>
                </w14:textFill>
              </w:rPr>
            </w:pPr>
          </w:p>
        </w:tc>
        <w:tc>
          <w:tcPr>
            <w:tcW w:w="337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仿宋_GB2312" w:hAnsi="仿宋_GB2312" w:eastAsia="仿宋_GB2312" w:cs="仿宋_GB2312"/>
                <w:color w:val="000000" w:themeColor="text1"/>
                <w:sz w:val="24"/>
                <w:lang w:val="zh-CN"/>
                <w14:textFill>
                  <w14:solidFill>
                    <w14:schemeClr w14:val="tx1"/>
                  </w14:solidFill>
                </w14:textFill>
              </w:rPr>
            </w:pPr>
          </w:p>
        </w:tc>
      </w:tr>
      <w:tr>
        <w:tblPrEx>
          <w:tblLayout w:type="fixed"/>
          <w:tblCellMar>
            <w:top w:w="0" w:type="dxa"/>
            <w:left w:w="0" w:type="dxa"/>
            <w:bottom w:w="0" w:type="dxa"/>
            <w:right w:w="0" w:type="dxa"/>
          </w:tblCellMar>
        </w:tblPrEx>
        <w:trPr>
          <w:trHeight w:val="1609"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路基工程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边坡基本稳定，坡面平顺；排水工程砌体结实、线性平顺，排水流畅；涵洞工程整体顺直，结构基本稳定；防护支挡工程砌体表面平整，勾缝平顺。</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局部边坡冲刷、拱形骨架破损，个别水沟沟墙破损，部分通道涵存在渗水、露筋、盖板裂缝析白等现象，个别护坡砌体开裂、破损。</w:t>
            </w:r>
          </w:p>
        </w:tc>
      </w:tr>
      <w:tr>
        <w:tblPrEx>
          <w:tblLayout w:type="fixed"/>
          <w:tblCellMar>
            <w:top w:w="0" w:type="dxa"/>
            <w:left w:w="0" w:type="dxa"/>
            <w:bottom w:w="0" w:type="dxa"/>
            <w:right w:w="0" w:type="dxa"/>
          </w:tblCellMar>
        </w:tblPrEx>
        <w:trPr>
          <w:trHeight w:val="1161"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2</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路面工程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沥青路面平整密实，无明显变形松散、泛油等现象，搭接处紧密平顺。</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沥青路面</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局部</w:t>
            </w:r>
            <w:r>
              <w:rPr>
                <w:rFonts w:hint="eastAsia" w:ascii="仿宋_GB2312" w:hAnsi="仿宋_GB2312" w:eastAsia="仿宋_GB2312" w:cs="仿宋_GB2312"/>
                <w:color w:val="000000" w:themeColor="text1"/>
                <w:sz w:val="24"/>
                <w:szCs w:val="24"/>
                <w:lang w:val="zh-CN"/>
                <w14:textFill>
                  <w14:solidFill>
                    <w14:schemeClr w14:val="tx1"/>
                  </w14:solidFill>
                </w14:textFill>
              </w:rPr>
              <w:t>位置存在裂缝、坑槽、修补现象，个别段落硬路肩混凝土开裂、破损。</w:t>
            </w:r>
          </w:p>
        </w:tc>
      </w:tr>
      <w:tr>
        <w:tblPrEx>
          <w:tblLayout w:type="fixed"/>
          <w:tblCellMar>
            <w:top w:w="0" w:type="dxa"/>
            <w:left w:w="0" w:type="dxa"/>
            <w:bottom w:w="0" w:type="dxa"/>
            <w:right w:w="0" w:type="dxa"/>
          </w:tblCellMar>
        </w:tblPrEx>
        <w:trPr>
          <w:trHeight w:val="1563"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3</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桥梁工程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桥梁内外轮廓线顺滑清晰，砼表面较平整、色泽基本一致，伸缩缝安装质量较好，桥头路面基本平顺，未发现跳车现象。</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桥梁局部结构有裂缝、露筋、砼破损，</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部分支座有串动、偏压脱空、剪切变形、开裂破损、外鼓、安装偏位、钢构件锈蚀、盆式支座橡胶密封圈外露等现象。</w:t>
            </w:r>
          </w:p>
        </w:tc>
      </w:tr>
      <w:tr>
        <w:tblPrEx>
          <w:tblLayout w:type="fixed"/>
          <w:tblCellMar>
            <w:top w:w="0" w:type="dxa"/>
            <w:left w:w="0" w:type="dxa"/>
            <w:bottom w:w="0" w:type="dxa"/>
            <w:right w:w="0" w:type="dxa"/>
          </w:tblCellMar>
        </w:tblPrEx>
        <w:trPr>
          <w:trHeight w:val="934"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4</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隧道工程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隧道衬砌砼表面密实平整，轮廓线条基本顺直，强度满足设计和规范要求，洞内断面尺寸符合设计要求。</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隧道个别部位衬砌纵向、环向、斜向裂缝、网状裂缝，个别衬砌施工缝错台、啃边开裂，局部衬砌存在渗水、析白、锈胀露筋、蜂窝麻面等现象。</w:t>
            </w:r>
          </w:p>
        </w:tc>
      </w:tr>
      <w:tr>
        <w:tblPrEx>
          <w:tblLayout w:type="fixed"/>
          <w:tblCellMar>
            <w:top w:w="0" w:type="dxa"/>
            <w:left w:w="0" w:type="dxa"/>
            <w:bottom w:w="0" w:type="dxa"/>
            <w:right w:w="0" w:type="dxa"/>
          </w:tblCellMar>
        </w:tblPrEx>
        <w:trPr>
          <w:trHeight w:val="1779"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5</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交通安全设施工程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标志安装稳固，板面无划痕、气泡，颜色均匀；标线线型流畅，与道路线性相协调，厚度、色泽较均匀；护栏线形顺适，色泽基本一致。</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eastAsia="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个别波形梁钢护栏变形、锈蚀、螺栓和柱帽缺失，</w:t>
            </w:r>
            <w:r>
              <w:rPr>
                <w:rFonts w:hint="eastAsia" w:ascii="仿宋_GB2312" w:hAnsi="仿宋_GB2312" w:eastAsia="仿宋_GB2312" w:cs="仿宋_GB2312"/>
                <w:color w:val="000000" w:themeColor="text1"/>
                <w:sz w:val="24"/>
                <w:szCs w:val="24"/>
                <w14:textFill>
                  <w14:solidFill>
                    <w14:schemeClr w14:val="tx1"/>
                  </w14:solidFill>
                </w14:textFill>
              </w:rPr>
              <w:t>个别位置标线</w:t>
            </w:r>
            <w:r>
              <w:rPr>
                <w:rFonts w:hint="eastAsia" w:ascii="仿宋_GB2312" w:hAnsi="仿宋_GB2312" w:eastAsia="仿宋_GB2312" w:cs="仿宋_GB2312"/>
                <w:color w:val="000000" w:themeColor="text1"/>
                <w:sz w:val="24"/>
                <w:szCs w:val="24"/>
                <w:lang w:eastAsia="zh-CN"/>
                <w14:textFill>
                  <w14:solidFill>
                    <w14:schemeClr w14:val="tx1"/>
                  </w14:solidFill>
                </w14:textFill>
              </w:rPr>
              <w:t>表面磨损、网裂、污染，个别突起路标、轮廓标、隔离栅及刺铁丝破损，个别防抛网锈蚀、涂塑层脱落。</w:t>
            </w:r>
          </w:p>
        </w:tc>
      </w:tr>
      <w:tr>
        <w:tblPrEx>
          <w:tblLayout w:type="fixed"/>
          <w:tblCellMar>
            <w:top w:w="0" w:type="dxa"/>
            <w:left w:w="0" w:type="dxa"/>
            <w:bottom w:w="0" w:type="dxa"/>
            <w:right w:w="0" w:type="dxa"/>
          </w:tblCellMar>
        </w:tblPrEx>
        <w:trPr>
          <w:trHeight w:val="1532"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6</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机电工程</w:t>
            </w:r>
          </w:p>
        </w:tc>
        <w:tc>
          <w:tcPr>
            <w:tcW w:w="389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基本功能齐全、运行稳定，满足设计和管理要求；机电设施布置安装合理，方便操作、维护；设备保养良好。</w:t>
            </w:r>
          </w:p>
        </w:tc>
        <w:tc>
          <w:tcPr>
            <w:tcW w:w="337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outlineLvl w:val="9"/>
              <w:rPr>
                <w:rFonts w:hint="eastAsia" w:ascii="仿宋_GB2312" w:hAnsi="仿宋_GB2312" w:eastAsia="仿宋_GB2312" w:cs="仿宋_GB2312"/>
                <w:color w:val="000000" w:themeColor="text1"/>
                <w:sz w:val="24"/>
                <w:szCs w:val="24"/>
                <w:lang w:val="zh-CN"/>
                <w14:textFill>
                  <w14:solidFill>
                    <w14:schemeClr w14:val="tx1"/>
                  </w14:solidFill>
                </w14:textFill>
              </w:rPr>
            </w:pPr>
            <w:r>
              <w:rPr>
                <w:rFonts w:hint="eastAsia" w:ascii="仿宋_GB2312" w:hAnsi="仿宋_GB2312" w:eastAsia="仿宋_GB2312" w:cs="仿宋_GB2312"/>
                <w:color w:val="000000" w:themeColor="text1"/>
                <w:sz w:val="24"/>
                <w:szCs w:val="24"/>
                <w:lang w:val="zh-CN"/>
                <w14:textFill>
                  <w14:solidFill>
                    <w14:schemeClr w14:val="tx1"/>
                  </w14:solidFill>
                </w14:textFill>
              </w:rPr>
              <w:t>沿线部分外场设备柜体、立柱、法兰、地脚螺栓防护层脱落和锈蚀。隧道内部分内消防箱消防箱门破损</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,水成膜消防软管存在漏水现象</w:t>
            </w:r>
            <w:r>
              <w:rPr>
                <w:rFonts w:hint="eastAsia" w:ascii="仿宋_GB2312" w:hAnsi="仿宋_GB2312" w:eastAsia="仿宋_GB2312" w:cs="仿宋_GB2312"/>
                <w:color w:val="000000" w:themeColor="text1"/>
                <w:sz w:val="24"/>
                <w:szCs w:val="24"/>
                <w:lang w:val="zh-CN"/>
                <w14:textFill>
                  <w14:solidFill>
                    <w14:schemeClr w14:val="tx1"/>
                  </w14:solidFill>
                </w14:textFill>
              </w:rPr>
              <w:t>。个别收费站配电箱内部接线图模糊。</w:t>
            </w:r>
          </w:p>
        </w:tc>
      </w:tr>
    </w:tbl>
    <w:p>
      <w:pPr>
        <w:keepNext w:val="0"/>
        <w:keepLines w:val="0"/>
        <w:pageBreakBefore w:val="0"/>
        <w:tabs>
          <w:tab w:val="left" w:pos="855"/>
        </w:tabs>
        <w:kinsoku/>
        <w:wordWrap/>
        <w:overflowPunct/>
        <w:topLinePunct w:val="0"/>
        <w:bidi w:val="0"/>
        <w:adjustRightInd/>
        <w:snapToGrid/>
        <w:spacing w:before="93" w:line="590" w:lineRule="exact"/>
        <w:ind w:left="0" w:leftChars="0" w:firstLine="643" w:firstLineChars="200"/>
        <w:textAlignment w:val="auto"/>
        <w:outlineLvl w:val="0"/>
        <w:rPr>
          <w:rFonts w:ascii="楷体_GB2312" w:hAnsi="宋体" w:eastAsia="楷体_GB2312"/>
          <w:b/>
          <w:bCs/>
          <w:color w:val="000000" w:themeColor="text1"/>
          <w:sz w:val="32"/>
          <w:szCs w:val="32"/>
          <w:lang w:val="en-GB"/>
          <w14:textFill>
            <w14:solidFill>
              <w14:schemeClr w14:val="tx1"/>
            </w14:solidFill>
          </w14:textFill>
        </w:rPr>
      </w:pPr>
      <w:r>
        <w:rPr>
          <w:rFonts w:hint="eastAsia" w:ascii="楷体_GB2312" w:hAnsi="宋体" w:eastAsia="楷体_GB2312"/>
          <w:b/>
          <w:bCs/>
          <w:color w:val="000000" w:themeColor="text1"/>
          <w:sz w:val="32"/>
          <w:szCs w:val="32"/>
          <w:lang w:val="en-GB"/>
          <w14:textFill>
            <w14:solidFill>
              <w14:schemeClr w14:val="tx1"/>
            </w14:solidFill>
          </w14:textFill>
        </w:rPr>
        <w:t>（三）内业资料审查</w:t>
      </w:r>
    </w:p>
    <w:p>
      <w:pPr>
        <w:keepNext w:val="0"/>
        <w:keepLines w:val="0"/>
        <w:pageBreakBefore w:val="0"/>
        <w:widowControl/>
        <w:kinsoku/>
        <w:wordWrap/>
        <w:overflowPunct/>
        <w:topLinePunct w:val="0"/>
        <w:autoSpaceDE/>
        <w:autoSpaceDN/>
        <w:bidi w:val="0"/>
        <w:adjustRightInd/>
        <w:snapToGrid/>
        <w:spacing w:line="590" w:lineRule="exact"/>
        <w:ind w:firstLine="640" w:firstLineChars="200"/>
        <w:textAlignment w:val="auto"/>
        <w:outlineLvl w:val="9"/>
        <w:rPr>
          <w:rFonts w:hint="eastAsia" w:ascii="仿宋_GB2312" w:hAnsi="宋体" w:eastAsia="仿宋_GB2312"/>
          <w:color w:val="000000" w:themeColor="text1"/>
          <w:sz w:val="32"/>
          <w:szCs w:val="32"/>
          <w:lang w:val="en-GB" w:eastAsia="zh-CN"/>
          <w14:textFill>
            <w14:solidFill>
              <w14:schemeClr w14:val="tx1"/>
            </w14:solidFill>
          </w14:textFill>
        </w:rPr>
      </w:pPr>
      <w:r>
        <w:rPr>
          <w:rFonts w:hint="eastAsia" w:ascii="仿宋_GB2312" w:hAnsi="宋体" w:eastAsia="仿宋_GB2312"/>
          <w:color w:val="000000" w:themeColor="text1"/>
          <w:sz w:val="32"/>
          <w:szCs w:val="32"/>
          <w:lang w:val="en-GB"/>
          <w14:textFill>
            <w14:solidFill>
              <w14:schemeClr w14:val="tx1"/>
            </w14:solidFill>
          </w14:textFill>
        </w:rPr>
        <w:t>经抽查，该项目能够根据公路工程竣工档案管理的要求，对内业资料进行分类编排，编制的工程竣工文件内容基本完整、分类合理，目录清晰；质量保证资料基本齐全，资料反映的检查项目、频率、质量指标满足有关标准、规范要求；资料记录字迹清晰、内容较详细</w:t>
      </w:r>
      <w:r>
        <w:rPr>
          <w:rFonts w:hint="eastAsia" w:ascii="仿宋_GB2312" w:hAnsi="宋体" w:eastAsia="仿宋_GB2312"/>
          <w:color w:val="000000" w:themeColor="text1"/>
          <w:sz w:val="32"/>
          <w:szCs w:val="32"/>
          <w:lang w:val="en-GB" w:eastAsia="zh-CN"/>
          <w14:textFill>
            <w14:solidFill>
              <w14:schemeClr w14:val="tx1"/>
            </w14:solidFill>
          </w14:textFill>
        </w:rPr>
        <w:t>，</w:t>
      </w:r>
      <w:r>
        <w:rPr>
          <w:rFonts w:hint="eastAsia" w:ascii="仿宋_GB2312" w:hAnsi="宋体" w:eastAsia="仿宋_GB2312"/>
          <w:color w:val="000000" w:themeColor="text1"/>
          <w:sz w:val="32"/>
          <w:szCs w:val="32"/>
          <w:lang w:val="en-GB"/>
          <w14:textFill>
            <w14:solidFill>
              <w14:schemeClr w14:val="tx1"/>
            </w14:solidFill>
          </w14:textFill>
        </w:rPr>
        <w:t>但存在个别资料</w:t>
      </w:r>
      <w:r>
        <w:rPr>
          <w:rFonts w:hint="eastAsia" w:ascii="仿宋_GB2312" w:hAnsi="宋体" w:eastAsia="仿宋_GB2312"/>
          <w:color w:val="000000" w:themeColor="text1"/>
          <w:sz w:val="32"/>
          <w:szCs w:val="32"/>
          <w:lang w:val="en-GB" w:eastAsia="zh-CN"/>
          <w14:textFill>
            <w14:solidFill>
              <w14:schemeClr w14:val="tx1"/>
            </w14:solidFill>
          </w14:textFill>
        </w:rPr>
        <w:t>为复印件</w:t>
      </w:r>
      <w:r>
        <w:rPr>
          <w:rFonts w:hint="eastAsia" w:ascii="仿宋_GB2312" w:hAnsi="宋体" w:eastAsia="仿宋_GB2312"/>
          <w:color w:val="000000" w:themeColor="text1"/>
          <w:sz w:val="32"/>
          <w:szCs w:val="32"/>
          <w:lang w:val="en-GB"/>
          <w14:textFill>
            <w14:solidFill>
              <w14:schemeClr w14:val="tx1"/>
            </w14:solidFill>
          </w14:textFill>
        </w:rPr>
        <w:t>和部分表单填写不完善等问题。</w:t>
      </w:r>
    </w:p>
    <w:p>
      <w:pPr>
        <w:keepNext w:val="0"/>
        <w:keepLines w:val="0"/>
        <w:pageBreakBefore w:val="0"/>
        <w:widowControl/>
        <w:kinsoku/>
        <w:wordWrap/>
        <w:overflowPunct/>
        <w:topLinePunct w:val="0"/>
        <w:autoSpaceDE/>
        <w:autoSpaceDN/>
        <w:bidi w:val="0"/>
        <w:adjustRightInd/>
        <w:snapToGrid/>
        <w:spacing w:line="590" w:lineRule="exact"/>
        <w:ind w:left="0" w:leftChars="0" w:firstLine="640" w:firstLineChars="200"/>
        <w:jc w:val="left"/>
        <w:textAlignment w:val="auto"/>
        <w:rPr>
          <w:rFonts w:hint="eastAsia" w:ascii="黑体" w:hAnsi="黑体" w:eastAsia="黑体" w:cs="黑体"/>
          <w:bCs/>
          <w:color w:val="000000" w:themeColor="text1"/>
          <w:sz w:val="32"/>
          <w:szCs w:val="32"/>
          <w:lang w:val="zh-CN"/>
          <w14:textFill>
            <w14:solidFill>
              <w14:schemeClr w14:val="tx1"/>
            </w14:solidFill>
          </w14:textFill>
        </w:rPr>
      </w:pPr>
      <w:r>
        <w:rPr>
          <w:rFonts w:hint="eastAsia" w:ascii="黑体" w:hAnsi="黑体" w:eastAsia="黑体" w:cs="黑体"/>
          <w:bCs/>
          <w:color w:val="000000" w:themeColor="text1"/>
          <w:sz w:val="32"/>
          <w:szCs w:val="32"/>
          <w:lang w:val="en-GB"/>
          <w14:textFill>
            <w14:solidFill>
              <w14:schemeClr w14:val="tx1"/>
            </w14:solidFill>
          </w14:textFill>
        </w:rPr>
        <w:t>四、</w:t>
      </w:r>
      <w:r>
        <w:rPr>
          <w:rFonts w:hint="eastAsia" w:ascii="黑体" w:hAnsi="黑体" w:eastAsia="黑体" w:cs="黑体"/>
          <w:bCs/>
          <w:color w:val="000000" w:themeColor="text1"/>
          <w:sz w:val="32"/>
          <w:szCs w:val="32"/>
          <w:lang w:val="zh-CN"/>
          <w14:textFill>
            <w14:solidFill>
              <w14:schemeClr w14:val="tx1"/>
            </w14:solidFill>
          </w14:textFill>
        </w:rPr>
        <w:t>交工遗留问题及处理情况</w:t>
      </w:r>
    </w:p>
    <w:p>
      <w:pPr>
        <w:keepNext w:val="0"/>
        <w:keepLines w:val="0"/>
        <w:pageBreakBefore w:val="0"/>
        <w:widowControl/>
        <w:kinsoku/>
        <w:wordWrap/>
        <w:overflowPunct/>
        <w:topLinePunct w:val="0"/>
        <w:autoSpaceDE/>
        <w:autoSpaceDN/>
        <w:bidi w:val="0"/>
        <w:adjustRightInd/>
        <w:snapToGrid/>
        <w:spacing w:line="590" w:lineRule="exact"/>
        <w:ind w:firstLine="640" w:firstLineChars="200"/>
        <w:textAlignment w:val="auto"/>
        <w:rPr>
          <w:rFonts w:hint="eastAsia" w:ascii="仿宋_GB2312" w:hAnsi="宋体" w:eastAsia="仿宋_GB2312" w:cs="Times New Roman"/>
          <w:color w:val="000000" w:themeColor="text1"/>
          <w:sz w:val="32"/>
          <w:szCs w:val="32"/>
          <w:lang w:val="en-GB"/>
          <w14:textFill>
            <w14:solidFill>
              <w14:schemeClr w14:val="tx1"/>
            </w14:solidFill>
          </w14:textFill>
        </w:rPr>
      </w:pPr>
      <w:r>
        <w:rPr>
          <w:rFonts w:hint="eastAsia" w:ascii="仿宋_GB2312" w:hAnsi="宋体" w:eastAsia="仿宋_GB2312"/>
          <w:color w:val="000000" w:themeColor="text1"/>
          <w:sz w:val="32"/>
          <w:szCs w:val="32"/>
          <w:lang w:val="en-GB"/>
          <w14:textFill>
            <w14:solidFill>
              <w14:schemeClr w14:val="tx1"/>
            </w14:solidFill>
          </w14:textFill>
        </w:rPr>
        <w:t>交工验收后，建设单位对交工验收时提出的遗留问题，组织相关单位进行了</w:t>
      </w:r>
      <w:r>
        <w:rPr>
          <w:rFonts w:hint="eastAsia" w:ascii="仿宋_GB2312" w:hAnsi="宋体" w:eastAsia="仿宋_GB2312" w:cs="Times New Roman"/>
          <w:color w:val="000000" w:themeColor="text1"/>
          <w:sz w:val="32"/>
          <w:szCs w:val="32"/>
          <w:lang w:val="en-GB"/>
          <w14:textFill>
            <w14:solidFill>
              <w14:schemeClr w14:val="tx1"/>
            </w14:solidFill>
          </w14:textFill>
        </w:rPr>
        <w:t>现场查看，对相应的问题制定了整改修复方案，完成整改修复</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sz w:val="32"/>
          <w:szCs w:val="32"/>
          <w:lang w:val="en-GB"/>
          <w14:textFill>
            <w14:solidFill>
              <w14:schemeClr w14:val="tx1"/>
            </w14:solidFill>
          </w14:textFill>
        </w:rPr>
        <w:t>建设单位于202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3年6月</w:t>
      </w:r>
      <w:r>
        <w:rPr>
          <w:rFonts w:hint="eastAsia" w:ascii="仿宋_GB2312" w:hAnsi="宋体" w:eastAsia="仿宋_GB2312" w:cs="Times New Roman"/>
          <w:color w:val="000000" w:themeColor="text1"/>
          <w:sz w:val="32"/>
          <w:szCs w:val="32"/>
          <w:lang w:val="en-GB"/>
          <w14:textFill>
            <w14:solidFill>
              <w14:schemeClr w14:val="tx1"/>
            </w14:solidFill>
          </w14:textFill>
        </w:rPr>
        <w:t>以《关于报送莆炎高速公路永泰梧桐至尤溪中仙段（三明市境）交工验收遗留问题整改修复情况的报告</w:t>
      </w:r>
      <w:r>
        <w:rPr>
          <w:rFonts w:hint="eastAsia" w:ascii="仿宋_GB2312" w:hAnsi="宋体" w:eastAsia="仿宋_GB2312" w:cs="Times New Roman"/>
          <w:color w:val="000000" w:themeColor="text1"/>
          <w:sz w:val="32"/>
          <w:szCs w:val="32"/>
          <w:lang w:val="en-GB" w:eastAsia="zh-CN"/>
          <w14:textFill>
            <w14:solidFill>
              <w14:schemeClr w14:val="tx1"/>
            </w14:solidFill>
          </w14:textFill>
        </w:rPr>
        <w:t>》（</w:t>
      </w:r>
      <w:r>
        <w:rPr>
          <w:rFonts w:hint="eastAsia" w:ascii="仿宋_GB2312" w:hAnsi="宋体" w:eastAsia="仿宋_GB2312" w:cs="Times New Roman"/>
          <w:color w:val="000000" w:themeColor="text1"/>
          <w:sz w:val="32"/>
          <w:szCs w:val="32"/>
          <w:lang w:val="en-GB"/>
          <w14:textFill>
            <w14:solidFill>
              <w14:schemeClr w14:val="tx1"/>
            </w14:solidFill>
          </w14:textFill>
        </w:rPr>
        <w:t>明莆中工〔2023〕6号）将整改情况报送我</w:t>
      </w:r>
      <w:r>
        <w:rPr>
          <w:rFonts w:hint="eastAsia" w:ascii="仿宋_GB2312" w:hAnsi="宋体" w:eastAsia="仿宋_GB2312" w:cs="Times New Roman"/>
          <w:color w:val="000000" w:themeColor="text1"/>
          <w:sz w:val="32"/>
          <w:szCs w:val="32"/>
          <w:lang w:val="en-GB" w:eastAsia="zh-CN"/>
          <w14:textFill>
            <w14:solidFill>
              <w14:schemeClr w14:val="tx1"/>
            </w14:solidFill>
          </w14:textFill>
        </w:rPr>
        <w:t>中心</w:t>
      </w:r>
      <w:r>
        <w:rPr>
          <w:rFonts w:hint="eastAsia" w:ascii="仿宋_GB2312" w:hAnsi="宋体" w:eastAsia="仿宋_GB2312" w:cs="Times New Roman"/>
          <w:color w:val="000000" w:themeColor="text1"/>
          <w:sz w:val="32"/>
          <w:szCs w:val="32"/>
          <w:lang w:val="en-GB"/>
          <w14:textFill>
            <w14:solidFill>
              <w14:schemeClr w14:val="tx1"/>
            </w14:solidFill>
          </w14:textFill>
        </w:rPr>
        <w:t>。</w:t>
      </w:r>
    </w:p>
    <w:p>
      <w:pPr>
        <w:keepNext w:val="0"/>
        <w:keepLines w:val="0"/>
        <w:pageBreakBefore w:val="0"/>
        <w:tabs>
          <w:tab w:val="left" w:pos="855"/>
        </w:tabs>
        <w:kinsoku/>
        <w:wordWrap/>
        <w:overflowPunct/>
        <w:topLinePunct w:val="0"/>
        <w:autoSpaceDE/>
        <w:autoSpaceDN/>
        <w:bidi w:val="0"/>
        <w:adjustRightInd/>
        <w:snapToGrid/>
        <w:spacing w:line="590" w:lineRule="exact"/>
        <w:ind w:left="0" w:leftChars="0" w:firstLine="640" w:firstLineChars="200"/>
        <w:textAlignment w:val="auto"/>
        <w:outlineLvl w:val="0"/>
        <w:rPr>
          <w:rFonts w:ascii="黑体" w:hAnsi="黑体" w:eastAsia="黑体" w:cs="黑体"/>
          <w:bCs/>
          <w:color w:val="000000" w:themeColor="text1"/>
          <w:sz w:val="32"/>
          <w:szCs w:val="32"/>
          <w:lang w:val="en-GB"/>
          <w14:textFill>
            <w14:solidFill>
              <w14:schemeClr w14:val="tx1"/>
            </w14:solidFill>
          </w14:textFill>
        </w:rPr>
      </w:pPr>
      <w:r>
        <w:rPr>
          <w:rFonts w:hint="eastAsia" w:ascii="黑体" w:hAnsi="黑体" w:eastAsia="黑体" w:cs="黑体"/>
          <w:bCs/>
          <w:color w:val="000000" w:themeColor="text1"/>
          <w:sz w:val="32"/>
          <w:szCs w:val="32"/>
          <w:lang w:val="en-GB"/>
          <w14:textFill>
            <w14:solidFill>
              <w14:schemeClr w14:val="tx1"/>
            </w14:solidFill>
          </w14:textFill>
        </w:rPr>
        <w:t>五、试运营期出现的问题及处理情况</w:t>
      </w:r>
    </w:p>
    <w:p>
      <w:pPr>
        <w:keepNext w:val="0"/>
        <w:keepLines w:val="0"/>
        <w:pageBreakBefore w:val="0"/>
        <w:kinsoku/>
        <w:wordWrap/>
        <w:overflowPunct/>
        <w:topLinePunct w:val="0"/>
        <w:autoSpaceDE/>
        <w:autoSpaceDN/>
        <w:bidi w:val="0"/>
        <w:adjustRightInd/>
        <w:snapToGrid/>
        <w:spacing w:line="590" w:lineRule="exact"/>
        <w:ind w:left="0" w:leftChars="0" w:firstLine="640" w:firstLineChars="200"/>
        <w:textAlignment w:val="auto"/>
        <w:outlineLvl w:val="0"/>
        <w:rPr>
          <w:rFonts w:hint="eastAsia" w:ascii="仿宋_GB2312" w:hAnsi="宋体" w:eastAsia="仿宋_GB2312" w:cs="Times New Roman"/>
          <w:color w:val="000000" w:themeColor="text1"/>
          <w:sz w:val="32"/>
          <w:szCs w:val="32"/>
          <w:lang w:val="zh-CN"/>
          <w14:textFill>
            <w14:solidFill>
              <w14:schemeClr w14:val="tx1"/>
            </w14:solidFill>
          </w14:textFill>
        </w:rPr>
      </w:pPr>
      <w:r>
        <w:rPr>
          <w:rFonts w:hint="eastAsia" w:ascii="仿宋_GB2312" w:hAnsi="宋体" w:eastAsia="仿宋_GB2312" w:cs="Times New Roman"/>
          <w:color w:val="000000" w:themeColor="text1"/>
          <w:sz w:val="32"/>
          <w:szCs w:val="32"/>
          <w:lang w:val="zh-CN"/>
          <w14:textFill>
            <w14:solidFill>
              <w14:schemeClr w14:val="tx1"/>
            </w14:solidFill>
          </w14:textFill>
        </w:rPr>
        <w:t>通车试运营以来，根据管养单位检查情况，路基、路面、桥梁、隧道工程结构稳定，对试运营期间出现的问题，建设单位已及时组织处置</w:t>
      </w:r>
      <w:r>
        <w:rPr>
          <w:rFonts w:hint="eastAsia" w:ascii="仿宋_GB2312" w:hAnsi="宋体" w:eastAsia="仿宋_GB2312" w:cs="Times New Roman"/>
          <w:color w:val="000000" w:themeColor="text1"/>
          <w:sz w:val="32"/>
          <w:szCs w:val="32"/>
          <w:lang w:val="zh-CN" w:eastAsia="zh-CN"/>
          <w14:textFill>
            <w14:solidFill>
              <w14:schemeClr w14:val="tx1"/>
            </w14:solidFill>
          </w14:textFill>
        </w:rPr>
        <w:t>完成</w:t>
      </w:r>
      <w:r>
        <w:rPr>
          <w:rFonts w:hint="eastAsia" w:ascii="仿宋_GB2312" w:hAnsi="宋体" w:eastAsia="仿宋_GB2312" w:cs="Times New Roman"/>
          <w:color w:val="000000" w:themeColor="text1"/>
          <w:sz w:val="32"/>
          <w:szCs w:val="32"/>
          <w:lang w:val="zh-CN"/>
          <w14:textFill>
            <w14:solidFill>
              <w14:schemeClr w14:val="tx1"/>
            </w14:solidFill>
          </w14:textFill>
        </w:rPr>
        <w:t>。建设单位于202</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3年8月</w:t>
      </w:r>
      <w:r>
        <w:rPr>
          <w:rFonts w:hint="eastAsia" w:ascii="仿宋_GB2312" w:hAnsi="宋体" w:eastAsia="仿宋_GB2312" w:cs="Times New Roman"/>
          <w:color w:val="000000" w:themeColor="text1"/>
          <w:sz w:val="32"/>
          <w:szCs w:val="32"/>
          <w:lang w:val="zh-CN"/>
          <w14:textFill>
            <w14:solidFill>
              <w14:schemeClr w14:val="tx1"/>
            </w14:solidFill>
          </w14:textFill>
        </w:rPr>
        <w:t>以《关于报送莆炎高速公路永泰梧桐至尤溪中仙段（三明市境）试运营期间存在问题处理情况的报告</w:t>
      </w:r>
      <w:r>
        <w:rPr>
          <w:rFonts w:hint="eastAsia" w:ascii="仿宋_GB2312" w:hAnsi="宋体" w:eastAsia="仿宋_GB2312" w:cs="Times New Roman"/>
          <w:color w:val="000000" w:themeColor="text1"/>
          <w:sz w:val="32"/>
          <w:szCs w:val="32"/>
          <w:lang w:val="zh-CN" w:eastAsia="zh-CN"/>
          <w14:textFill>
            <w14:solidFill>
              <w14:schemeClr w14:val="tx1"/>
            </w14:solidFill>
          </w14:textFill>
        </w:rPr>
        <w:t>》（</w:t>
      </w:r>
      <w:r>
        <w:rPr>
          <w:rFonts w:hint="eastAsia" w:ascii="仿宋_GB2312" w:hAnsi="宋体" w:eastAsia="仿宋_GB2312" w:cs="Times New Roman"/>
          <w:color w:val="000000" w:themeColor="text1"/>
          <w:sz w:val="32"/>
          <w:szCs w:val="32"/>
          <w:lang w:val="zh-CN"/>
          <w14:textFill>
            <w14:solidFill>
              <w14:schemeClr w14:val="tx1"/>
            </w14:solidFill>
          </w14:textFill>
        </w:rPr>
        <w:t>明莆中路〔2023〕10号）将</w:t>
      </w:r>
      <w:r>
        <w:rPr>
          <w:rFonts w:hint="eastAsia" w:ascii="仿宋_GB2312" w:hAnsi="宋体" w:eastAsia="仿宋_GB2312" w:cs="Times New Roman"/>
          <w:color w:val="000000" w:themeColor="text1"/>
          <w:sz w:val="32"/>
          <w:szCs w:val="32"/>
          <w:lang w:val="en-GB"/>
          <w14:textFill>
            <w14:solidFill>
              <w14:schemeClr w14:val="tx1"/>
            </w14:solidFill>
          </w14:textFill>
        </w:rPr>
        <w:t>整改情况</w:t>
      </w:r>
      <w:r>
        <w:rPr>
          <w:rFonts w:hint="eastAsia" w:ascii="仿宋_GB2312" w:hAnsi="宋体" w:eastAsia="仿宋_GB2312" w:cs="Times New Roman"/>
          <w:color w:val="000000" w:themeColor="text1"/>
          <w:sz w:val="32"/>
          <w:szCs w:val="32"/>
          <w:lang w:val="en-US" w:eastAsia="zh-CN"/>
          <w14:textFill>
            <w14:solidFill>
              <w14:schemeClr w14:val="tx1"/>
            </w14:solidFill>
          </w14:textFill>
        </w:rPr>
        <w:t>报送我中心。</w:t>
      </w:r>
    </w:p>
    <w:p>
      <w:pPr>
        <w:keepNext w:val="0"/>
        <w:keepLines w:val="0"/>
        <w:pageBreakBefore w:val="0"/>
        <w:widowControl/>
        <w:kinsoku/>
        <w:wordWrap/>
        <w:overflowPunct/>
        <w:topLinePunct w:val="0"/>
        <w:autoSpaceDE/>
        <w:autoSpaceDN/>
        <w:bidi w:val="0"/>
        <w:adjustRightInd/>
        <w:snapToGrid/>
        <w:spacing w:line="590" w:lineRule="exact"/>
        <w:ind w:left="0" w:leftChars="0" w:firstLine="640" w:firstLineChars="200"/>
        <w:jc w:val="left"/>
        <w:textAlignment w:val="auto"/>
        <w:rPr>
          <w:rFonts w:ascii="黑体" w:hAnsi="华文中宋" w:eastAsia="黑体" w:cs="华文中宋"/>
          <w:bCs/>
          <w:color w:val="000000" w:themeColor="text1"/>
          <w:sz w:val="32"/>
          <w:szCs w:val="32"/>
          <w:lang w:val="en-GB"/>
          <w14:textFill>
            <w14:solidFill>
              <w14:schemeClr w14:val="tx1"/>
            </w14:solidFill>
          </w14:textFill>
        </w:rPr>
      </w:pPr>
      <w:r>
        <w:rPr>
          <w:rFonts w:hint="eastAsia" w:ascii="黑体" w:hAnsi="华文中宋" w:eastAsia="黑体" w:cs="华文中宋"/>
          <w:bCs/>
          <w:color w:val="000000" w:themeColor="text1"/>
          <w:sz w:val="32"/>
          <w:szCs w:val="32"/>
          <w:lang w:val="en-GB"/>
          <w14:textFill>
            <w14:solidFill>
              <w14:schemeClr w14:val="tx1"/>
            </w14:solidFill>
          </w14:textFill>
        </w:rPr>
        <w:t>六、工程质量鉴定评分</w:t>
      </w:r>
    </w:p>
    <w:p>
      <w:pPr>
        <w:keepNext w:val="0"/>
        <w:keepLines w:val="0"/>
        <w:pageBreakBefore w:val="0"/>
        <w:kinsoku/>
        <w:wordWrap/>
        <w:overflowPunct/>
        <w:topLinePunct w:val="0"/>
        <w:autoSpaceDE/>
        <w:autoSpaceDN/>
        <w:bidi w:val="0"/>
        <w:adjustRightInd/>
        <w:snapToGrid/>
        <w:spacing w:line="590" w:lineRule="exact"/>
        <w:ind w:left="0" w:leftChars="0" w:firstLine="643" w:firstLineChars="200"/>
        <w:textAlignment w:val="auto"/>
        <w:rPr>
          <w:rFonts w:ascii="楷体_GB2312" w:hAnsi="楷体_GB2312" w:eastAsia="楷体_GB2312" w:cs="楷体_GB2312"/>
          <w:b/>
          <w:bCs/>
          <w:color w:val="000000" w:themeColor="text1"/>
          <w:sz w:val="32"/>
          <w:szCs w:val="32"/>
          <w:lang w:val="zh-CN"/>
          <w14:textFill>
            <w14:solidFill>
              <w14:schemeClr w14:val="tx1"/>
            </w14:solidFill>
          </w14:textFill>
        </w:rPr>
      </w:pPr>
      <w:r>
        <w:rPr>
          <w:rFonts w:hint="eastAsia" w:ascii="楷体_GB2312" w:hAnsi="楷体_GB2312" w:eastAsia="楷体_GB2312" w:cs="楷体_GB2312"/>
          <w:b/>
          <w:bCs/>
          <w:color w:val="000000" w:themeColor="text1"/>
          <w:sz w:val="32"/>
          <w:szCs w:val="32"/>
          <w:lang w:val="zh-CN"/>
          <w14:textFill>
            <w14:solidFill>
              <w14:schemeClr w14:val="tx1"/>
            </w14:solidFill>
          </w14:textFill>
        </w:rPr>
        <w:t>（一）评分过程</w:t>
      </w:r>
    </w:p>
    <w:p>
      <w:pPr>
        <w:keepNext w:val="0"/>
        <w:keepLines w:val="0"/>
        <w:pageBreakBefore w:val="0"/>
        <w:kinsoku/>
        <w:wordWrap/>
        <w:overflowPunct/>
        <w:topLinePunct w:val="0"/>
        <w:bidi w:val="0"/>
        <w:adjustRightInd/>
        <w:snapToGrid/>
        <w:spacing w:line="590" w:lineRule="exact"/>
        <w:ind w:left="0" w:leftChars="0" w:firstLine="640" w:firstLineChars="200"/>
        <w:textAlignment w:val="auto"/>
        <w:outlineLvl w:val="0"/>
        <w:rPr>
          <w:rFonts w:ascii="仿宋_GB2312" w:hAnsi="宋体" w:eastAsia="仿宋_GB2312"/>
          <w:color w:val="000000" w:themeColor="text1"/>
          <w:sz w:val="32"/>
          <w:szCs w:val="32"/>
          <w:lang w:val="zh-CN"/>
          <w14:textFill>
            <w14:solidFill>
              <w14:schemeClr w14:val="tx1"/>
            </w14:solidFill>
          </w14:textFill>
        </w:rPr>
      </w:pPr>
      <w:r>
        <w:rPr>
          <w:rFonts w:hint="eastAsia" w:ascii="仿宋_GB2312" w:hAnsi="宋体" w:eastAsia="仿宋_GB2312"/>
          <w:color w:val="000000" w:themeColor="text1"/>
          <w:sz w:val="32"/>
          <w:szCs w:val="32"/>
          <w:lang w:val="zh-CN"/>
          <w14:textFill>
            <w14:solidFill>
              <w14:schemeClr w14:val="tx1"/>
            </w14:solidFill>
          </w14:textFill>
        </w:rPr>
        <w:t>根据《公路工程竣（交）工验收办法实施细则》及交工验收前质量检测、竣工验收前质量鉴定主要指标复测、工程外观质量检查、内业资料审查情况，对分部工程、单位工程、合同段和建设项目逐级进行质量评定。</w:t>
      </w:r>
    </w:p>
    <w:p>
      <w:pPr>
        <w:keepNext w:val="0"/>
        <w:keepLines w:val="0"/>
        <w:pageBreakBefore w:val="0"/>
        <w:kinsoku/>
        <w:wordWrap/>
        <w:overflowPunct/>
        <w:topLinePunct w:val="0"/>
        <w:bidi w:val="0"/>
        <w:adjustRightInd/>
        <w:snapToGrid/>
        <w:spacing w:line="590" w:lineRule="exact"/>
        <w:ind w:left="0" w:leftChars="0" w:firstLine="643" w:firstLineChars="200"/>
        <w:textAlignment w:val="auto"/>
        <w:outlineLvl w:val="0"/>
        <w:rPr>
          <w:rFonts w:ascii="楷体_GB2312" w:hAnsi="楷体_GB2312" w:eastAsia="楷体_GB2312" w:cs="楷体_GB2312"/>
          <w:b/>
          <w:bCs/>
          <w:color w:val="000000" w:themeColor="text1"/>
          <w:sz w:val="32"/>
          <w:szCs w:val="32"/>
          <w:lang w:val="zh-CN"/>
          <w14:textFill>
            <w14:solidFill>
              <w14:schemeClr w14:val="tx1"/>
            </w14:solidFill>
          </w14:textFill>
        </w:rPr>
      </w:pPr>
      <w:r>
        <w:rPr>
          <w:rFonts w:hint="eastAsia" w:ascii="楷体_GB2312" w:hAnsi="楷体_GB2312" w:eastAsia="楷体_GB2312" w:cs="楷体_GB2312"/>
          <w:b/>
          <w:bCs/>
          <w:color w:val="000000" w:themeColor="text1"/>
          <w:sz w:val="32"/>
          <w:szCs w:val="32"/>
          <w:lang w:val="zh-CN"/>
          <w14:textFill>
            <w14:solidFill>
              <w14:schemeClr w14:val="tx1"/>
            </w14:solidFill>
          </w14:textFill>
        </w:rPr>
        <w:t>（二）建设项目合同段评分</w:t>
      </w:r>
    </w:p>
    <w:p>
      <w:pPr>
        <w:keepNext w:val="0"/>
        <w:keepLines w:val="0"/>
        <w:pageBreakBefore w:val="0"/>
        <w:kinsoku/>
        <w:wordWrap/>
        <w:overflowPunct/>
        <w:topLinePunct w:val="0"/>
        <w:bidi w:val="0"/>
        <w:adjustRightInd/>
        <w:snapToGrid/>
        <w:spacing w:line="590" w:lineRule="exact"/>
        <w:ind w:left="0" w:leftChars="0" w:firstLine="640" w:firstLineChars="200"/>
        <w:textAlignment w:val="auto"/>
        <w:outlineLvl w:val="0"/>
        <w:rPr>
          <w:rFonts w:hint="eastAsia" w:ascii="仿宋_GB2312" w:hAnsi="宋体" w:eastAsia="仿宋_GB2312" w:cs="Times New Roman"/>
          <w:color w:val="000000" w:themeColor="text1"/>
          <w:sz w:val="32"/>
          <w:szCs w:val="32"/>
          <w:lang w:val="zh-CN"/>
          <w14:textFill>
            <w14:solidFill>
              <w14:schemeClr w14:val="tx1"/>
            </w14:solidFill>
          </w14:textFill>
        </w:rPr>
      </w:pPr>
      <w:r>
        <w:rPr>
          <w:rFonts w:hint="eastAsia" w:ascii="仿宋_GB2312" w:hAnsi="宋体" w:eastAsia="仿宋_GB2312" w:cs="Times New Roman"/>
          <w:color w:val="000000" w:themeColor="text1"/>
          <w:sz w:val="32"/>
          <w:szCs w:val="32"/>
          <w:lang w:val="zh-CN"/>
          <w14:textFill>
            <w14:solidFill>
              <w14:schemeClr w14:val="tx1"/>
            </w14:solidFill>
          </w14:textFill>
        </w:rPr>
        <w:t>本项目</w:t>
      </w:r>
      <w:r>
        <w:rPr>
          <w:rFonts w:hint="eastAsia" w:ascii="仿宋_GB2312" w:hAnsi="宋体" w:eastAsia="仿宋_GB2312" w:cs="Times New Roman"/>
          <w:color w:val="000000" w:themeColor="text1"/>
          <w:sz w:val="32"/>
          <w:szCs w:val="32"/>
          <w:lang w:val="en-US" w:eastAsia="zh-CN"/>
          <w14:textFill>
            <w14:solidFill>
              <w14:schemeClr w14:val="tx1"/>
            </w14:solidFill>
          </w14:textFill>
        </w:rPr>
        <w:t>7</w:t>
      </w:r>
      <w:r>
        <w:rPr>
          <w:rFonts w:hint="eastAsia" w:ascii="仿宋_GB2312" w:hAnsi="宋体" w:eastAsia="仿宋_GB2312" w:cs="Times New Roman"/>
          <w:color w:val="000000" w:themeColor="text1"/>
          <w:sz w:val="32"/>
          <w:szCs w:val="32"/>
          <w:lang w:val="zh-CN"/>
          <w14:textFill>
            <w14:solidFill>
              <w14:schemeClr w14:val="tx1"/>
            </w14:solidFill>
          </w14:textFill>
        </w:rPr>
        <w:t>个施工合同段，</w:t>
      </w:r>
      <w:r>
        <w:rPr>
          <w:rFonts w:hint="eastAsia" w:ascii="仿宋_GB2312" w:hAnsi="宋体" w:eastAsia="仿宋_GB2312"/>
          <w:color w:val="000000" w:themeColor="text1"/>
          <w:sz w:val="32"/>
          <w:szCs w:val="32"/>
          <w:lang w:val="en-US" w:eastAsia="zh-CN"/>
          <w14:textFill>
            <w14:solidFill>
              <w14:schemeClr w14:val="tx1"/>
            </w14:solidFill>
          </w14:textFill>
        </w:rPr>
        <w:t>其中：</w:t>
      </w:r>
      <w:r>
        <w:rPr>
          <w:rFonts w:hint="eastAsia" w:ascii="仿宋_GB2312" w:hAnsi="宋体" w:eastAsia="仿宋_GB2312" w:cs="Times New Roman"/>
          <w:color w:val="000000" w:themeColor="text1"/>
          <w:sz w:val="32"/>
          <w:szCs w:val="32"/>
          <w:lang w:val="zh-CN"/>
          <w14:textFill>
            <w14:solidFill>
              <w14:schemeClr w14:val="tx1"/>
            </w14:solidFill>
          </w14:textFill>
        </w:rPr>
        <w:t>路基工程</w:t>
      </w:r>
      <w:r>
        <w:rPr>
          <w:rFonts w:hint="eastAsia" w:ascii="仿宋_GB2312" w:hAnsi="宋体" w:eastAsia="仿宋_GB2312" w:cs="Times New Roman"/>
          <w:color w:val="000000" w:themeColor="text1"/>
          <w:sz w:val="32"/>
          <w:szCs w:val="32"/>
          <w:lang w:val="en-US" w:eastAsia="zh-CN"/>
          <w14:textFill>
            <w14:solidFill>
              <w14:schemeClr w14:val="tx1"/>
            </w14:solidFill>
          </w14:textFill>
        </w:rPr>
        <w:t>4</w:t>
      </w:r>
      <w:r>
        <w:rPr>
          <w:rFonts w:hint="eastAsia" w:ascii="仿宋_GB2312" w:hAnsi="宋体" w:eastAsia="仿宋_GB2312" w:cs="Times New Roman"/>
          <w:color w:val="000000" w:themeColor="text1"/>
          <w:sz w:val="32"/>
          <w:szCs w:val="32"/>
          <w:lang w:val="zh-CN"/>
          <w14:textFill>
            <w14:solidFill>
              <w14:schemeClr w14:val="tx1"/>
            </w14:solidFill>
          </w14:textFill>
        </w:rPr>
        <w:t>个施工合同段，路面、绿化、交通安全设施</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w:t>
      </w:r>
      <w:r>
        <w:rPr>
          <w:rFonts w:hint="eastAsia" w:ascii="仿宋_GB2312" w:hAnsi="宋体" w:eastAsia="仿宋_GB2312" w:cs="Times New Roman"/>
          <w:color w:val="000000" w:themeColor="text1"/>
          <w:sz w:val="32"/>
          <w:szCs w:val="32"/>
          <w:lang w:val="zh-CN"/>
          <w14:textFill>
            <w14:solidFill>
              <w14:schemeClr w14:val="tx1"/>
            </w14:solidFill>
          </w14:textFill>
        </w:rPr>
        <w:t>个施工合同段，机电及三大系统</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w:t>
      </w:r>
      <w:r>
        <w:rPr>
          <w:rFonts w:hint="eastAsia" w:ascii="仿宋_GB2312" w:hAnsi="宋体" w:eastAsia="仿宋_GB2312" w:cs="Times New Roman"/>
          <w:color w:val="000000" w:themeColor="text1"/>
          <w:sz w:val="32"/>
          <w:szCs w:val="32"/>
          <w:lang w:val="zh-CN"/>
          <w14:textFill>
            <w14:solidFill>
              <w14:schemeClr w14:val="tx1"/>
            </w14:solidFill>
          </w14:textFill>
        </w:rPr>
        <w:t>个施工合同段。共划分为</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36</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个单位工程，其中：路基</w:t>
      </w:r>
      <w:r>
        <w:rPr>
          <w:rFonts w:hint="eastAsia" w:ascii="仿宋_GB2312" w:hAnsi="宋体" w:eastAsia="仿宋_GB2312" w:cs="Times New Roman"/>
          <w:color w:val="000000" w:themeColor="text1"/>
          <w:sz w:val="32"/>
          <w:szCs w:val="32"/>
          <w:lang w:val="en-US" w:eastAsia="zh-CN"/>
          <w14:textFill>
            <w14:solidFill>
              <w14:schemeClr w14:val="tx1"/>
            </w14:solidFill>
          </w14:textFill>
        </w:rPr>
        <w:t>4</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个单位工程、路面</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个单位工程、交通安全设施</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个单位工程、桥梁</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23</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个单位工程、隧道工程</w:t>
      </w:r>
      <w:r>
        <w:rPr>
          <w:rFonts w:hint="eastAsia" w:ascii="仿宋_GB2312" w:hAnsi="宋体" w:eastAsia="仿宋_GB2312" w:cs="Times New Roman"/>
          <w:color w:val="000000" w:themeColor="text1"/>
          <w:sz w:val="32"/>
          <w:szCs w:val="32"/>
          <w:lang w:val="en-US" w:eastAsia="zh-CN"/>
          <w14:textFill>
            <w14:solidFill>
              <w14:schemeClr w14:val="tx1"/>
            </w14:solidFill>
          </w14:textFill>
        </w:rPr>
        <w:t>5</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个单位工程、机电及三大系统</w:t>
      </w:r>
      <w:r>
        <w:rPr>
          <w:rFonts w:hint="eastAsia" w:ascii="仿宋_GB2312" w:hAnsi="宋体" w:eastAsia="仿宋_GB2312" w:cs="Times New Roman"/>
          <w:color w:val="000000" w:themeColor="text1"/>
          <w:sz w:val="32"/>
          <w:szCs w:val="32"/>
          <w:lang w:val="en-US" w:eastAsia="zh-CN"/>
          <w14:textFill>
            <w14:solidFill>
              <w14:schemeClr w14:val="tx1"/>
            </w14:solidFill>
          </w14:textFill>
        </w:rPr>
        <w:t>2</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w:t>
      </w:r>
    </w:p>
    <w:p>
      <w:pPr>
        <w:keepNext w:val="0"/>
        <w:keepLines w:val="0"/>
        <w:pageBreakBefore w:val="0"/>
        <w:kinsoku/>
        <w:wordWrap/>
        <w:overflowPunct/>
        <w:topLinePunct w:val="0"/>
        <w:bidi w:val="0"/>
        <w:adjustRightInd/>
        <w:snapToGrid/>
        <w:spacing w:line="590" w:lineRule="exact"/>
        <w:ind w:left="0" w:leftChars="0" w:firstLine="640" w:firstLineChars="200"/>
        <w:textAlignment w:val="auto"/>
        <w:outlineLvl w:val="0"/>
        <w:rPr>
          <w:rFonts w:hint="eastAsia" w:ascii="仿宋_GB2312" w:hAnsi="宋体" w:eastAsia="仿宋_GB2312" w:cs="Times New Roman"/>
          <w:color w:val="000000" w:themeColor="text1"/>
          <w:sz w:val="32"/>
          <w:szCs w:val="32"/>
          <w:lang w:val="zh-CN"/>
          <w14:textFill>
            <w14:solidFill>
              <w14:schemeClr w14:val="tx1"/>
            </w14:solidFill>
          </w14:textFill>
        </w:rPr>
      </w:pPr>
      <w:r>
        <w:rPr>
          <w:rFonts w:hint="eastAsia" w:ascii="仿宋_GB2312" w:hAnsi="宋体" w:eastAsia="仿宋_GB2312" w:cs="Times New Roman"/>
          <w:color w:val="000000" w:themeColor="text1"/>
          <w:sz w:val="32"/>
          <w:szCs w:val="32"/>
          <w:lang w:val="zh-CN"/>
          <w14:textFill>
            <w14:solidFill>
              <w14:schemeClr w14:val="tx1"/>
            </w14:solidFill>
          </w14:textFill>
        </w:rPr>
        <w:t>经评定，</w:t>
      </w:r>
      <w:r>
        <w:rPr>
          <w:rFonts w:hint="eastAsia" w:ascii="仿宋_GB2312" w:hAnsi="宋体" w:eastAsia="仿宋_GB2312" w:cs="Times New Roman"/>
          <w:color w:val="000000" w:themeColor="text1"/>
          <w:sz w:val="32"/>
          <w:szCs w:val="32"/>
          <w:lang w:val="en-US" w:eastAsia="zh-CN"/>
          <w14:textFill>
            <w14:solidFill>
              <w14:schemeClr w14:val="tx1"/>
            </w14:solidFill>
          </w14:textFill>
        </w:rPr>
        <w:t>6</w:t>
      </w:r>
      <w:r>
        <w:rPr>
          <w:rFonts w:hint="eastAsia" w:ascii="仿宋_GB2312" w:hAnsi="宋体" w:eastAsia="仿宋_GB2312" w:cs="Times New Roman"/>
          <w:color w:val="000000" w:themeColor="text1"/>
          <w:sz w:val="32"/>
          <w:szCs w:val="32"/>
          <w:lang w:val="zh-CN"/>
          <w14:textFill>
            <w14:solidFill>
              <w14:schemeClr w14:val="tx1"/>
            </w14:solidFill>
          </w14:textFill>
        </w:rPr>
        <w:t>个合同段质量等级为优良，</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w:t>
      </w:r>
      <w:r>
        <w:rPr>
          <w:rFonts w:hint="eastAsia" w:ascii="仿宋_GB2312" w:hAnsi="宋体" w:eastAsia="仿宋_GB2312" w:cs="Times New Roman"/>
          <w:color w:val="000000" w:themeColor="text1"/>
          <w:sz w:val="32"/>
          <w:szCs w:val="32"/>
          <w:lang w:val="zh-CN"/>
          <w14:textFill>
            <w14:solidFill>
              <w14:schemeClr w14:val="tx1"/>
            </w14:solidFill>
          </w14:textFill>
        </w:rPr>
        <w:t>个合同段质量等级为合格；</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36</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个单位工程中：</w:t>
      </w:r>
      <w:r>
        <w:rPr>
          <w:rFonts w:hint="eastAsia" w:ascii="仿宋_GB2312" w:hAnsi="宋体" w:eastAsia="仿宋_GB2312" w:cs="Times New Roman"/>
          <w:color w:val="000000" w:themeColor="text1"/>
          <w:sz w:val="32"/>
          <w:szCs w:val="32"/>
          <w:lang w:val="en-US" w:eastAsia="zh-CN"/>
          <w14:textFill>
            <w14:solidFill>
              <w14:schemeClr w14:val="tx1"/>
            </w14:solidFill>
          </w14:textFill>
        </w:rPr>
        <w:t>32</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个单位工程质量等级为优良，</w:t>
      </w:r>
      <w:r>
        <w:rPr>
          <w:rFonts w:hint="eastAsia" w:ascii="仿宋_GB2312" w:hAnsi="宋体" w:eastAsia="仿宋_GB2312" w:cs="Times New Roman"/>
          <w:color w:val="000000" w:themeColor="text1"/>
          <w:sz w:val="32"/>
          <w:szCs w:val="32"/>
          <w:lang w:val="en-US" w:eastAsia="zh-CN"/>
          <w14:textFill>
            <w14:solidFill>
              <w14:schemeClr w14:val="tx1"/>
            </w14:solidFill>
          </w14:textFill>
        </w:rPr>
        <w:t>4</w:t>
      </w:r>
      <w:r>
        <w:rPr>
          <w:rFonts w:hint="eastAsia" w:ascii="仿宋_GB2312" w:hAnsi="宋体" w:eastAsia="仿宋_GB2312" w:cs="Times New Roman"/>
          <w:color w:val="000000" w:themeColor="text1"/>
          <w:sz w:val="32"/>
          <w:szCs w:val="32"/>
          <w:lang w:val="zh-CN"/>
          <w14:textFill>
            <w14:solidFill>
              <w14:schemeClr w14:val="tx1"/>
            </w14:solidFill>
          </w14:textFill>
        </w:rPr>
        <w:t>个单位工程质量等级为合格。</w:t>
      </w:r>
    </w:p>
    <w:p>
      <w:pPr>
        <w:keepNext w:val="0"/>
        <w:keepLines w:val="0"/>
        <w:pageBreakBefore w:val="0"/>
        <w:kinsoku/>
        <w:wordWrap/>
        <w:overflowPunct/>
        <w:topLinePunct w:val="0"/>
        <w:bidi w:val="0"/>
        <w:adjustRightInd/>
        <w:snapToGrid/>
        <w:spacing w:line="590" w:lineRule="exact"/>
        <w:ind w:left="0" w:leftChars="0" w:firstLine="643" w:firstLineChars="200"/>
        <w:textAlignment w:val="auto"/>
        <w:outlineLvl w:val="0"/>
        <w:rPr>
          <w:rFonts w:ascii="楷体" w:hAnsi="楷体" w:eastAsia="楷体" w:cs="楷体"/>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lang w:val="zh-CN"/>
          <w14:textFill>
            <w14:solidFill>
              <w14:schemeClr w14:val="tx1"/>
            </w14:solidFill>
          </w14:textFill>
        </w:rPr>
        <w:t>（三）工程质量鉴定结论</w:t>
      </w:r>
    </w:p>
    <w:p>
      <w:pPr>
        <w:keepNext w:val="0"/>
        <w:keepLines w:val="0"/>
        <w:pageBreakBefore w:val="0"/>
        <w:kinsoku/>
        <w:wordWrap/>
        <w:overflowPunct/>
        <w:topLinePunct w:val="0"/>
        <w:bidi w:val="0"/>
        <w:adjustRightInd/>
        <w:snapToGrid/>
        <w:spacing w:line="590" w:lineRule="exact"/>
        <w:ind w:left="0" w:leftChars="0" w:firstLine="640" w:firstLineChars="200"/>
        <w:textAlignment w:val="auto"/>
        <w:rPr>
          <w:rFonts w:ascii="仿宋_GB2312" w:hAnsi="宋体" w:eastAsia="仿宋_GB2312"/>
          <w:color w:val="FF0000"/>
          <w:sz w:val="32"/>
          <w:szCs w:val="32"/>
        </w:rPr>
      </w:pPr>
      <w:r>
        <w:rPr>
          <w:rFonts w:hint="eastAsia" w:ascii="仿宋_GB2312" w:hAnsi="宋体" w:eastAsia="仿宋_GB2312"/>
          <w:color w:val="000000" w:themeColor="text1"/>
          <w:sz w:val="32"/>
          <w:szCs w:val="32"/>
          <w14:textFill>
            <w14:solidFill>
              <w14:schemeClr w14:val="tx1"/>
            </w14:solidFill>
          </w14:textFill>
        </w:rPr>
        <w:t>经鉴定，本项目工程质量鉴定得分为</w:t>
      </w:r>
      <w:r>
        <w:rPr>
          <w:rFonts w:hint="eastAsia" w:ascii="仿宋_GB2312" w:hAnsi="宋体" w:eastAsia="仿宋_GB2312"/>
          <w:color w:val="000000" w:themeColor="text1"/>
          <w:sz w:val="32"/>
          <w:szCs w:val="32"/>
          <w:lang w:val="en-US" w:eastAsia="zh-CN"/>
          <w14:textFill>
            <w14:solidFill>
              <w14:schemeClr w14:val="tx1"/>
            </w14:solidFill>
          </w14:textFill>
        </w:rPr>
        <w:t>91.67</w:t>
      </w:r>
      <w:r>
        <w:rPr>
          <w:rFonts w:hint="eastAsia" w:ascii="仿宋_GB2312" w:hAnsi="宋体" w:eastAsia="仿宋_GB2312"/>
          <w:color w:val="000000" w:themeColor="text1"/>
          <w:sz w:val="32"/>
          <w:szCs w:val="32"/>
          <w14:textFill>
            <w14:solidFill>
              <w14:schemeClr w14:val="tx1"/>
            </w14:solidFill>
          </w14:textFill>
        </w:rPr>
        <w:t>分，建设项目工程质量等级为优良。建设项目及各合同段评分结果见附表2。</w:t>
      </w:r>
    </w:p>
    <w:p>
      <w:pPr>
        <w:keepNext w:val="0"/>
        <w:keepLines w:val="0"/>
        <w:pageBreakBefore w:val="0"/>
        <w:kinsoku/>
        <w:wordWrap/>
        <w:overflowPunct/>
        <w:topLinePunct w:val="0"/>
        <w:autoSpaceDE w:val="0"/>
        <w:autoSpaceDN w:val="0"/>
        <w:bidi w:val="0"/>
        <w:adjustRightInd/>
        <w:snapToGrid/>
        <w:spacing w:line="590" w:lineRule="exact"/>
        <w:ind w:left="0" w:leftChars="0" w:firstLine="640" w:firstLineChars="200"/>
        <w:textAlignment w:val="auto"/>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七、有关建议</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40" w:firstLineChars="200"/>
        <w:textAlignment w:val="auto"/>
        <w:rPr>
          <w:rFonts w:ascii="仿宋_GB2312" w:hAnsi="宋体" w:eastAsia="仿宋_GB2312"/>
          <w:color w:val="000000" w:themeColor="text1"/>
          <w:sz w:val="18"/>
          <w:szCs w:val="18"/>
          <w14:textFill>
            <w14:solidFill>
              <w14:schemeClr w14:val="tx1"/>
            </w14:solidFill>
          </w14:textFill>
        </w:rPr>
      </w:pPr>
      <w:r>
        <w:rPr>
          <w:rFonts w:hint="eastAsia" w:ascii="仿宋_GB2312" w:hAnsi="宋体" w:eastAsia="仿宋_GB2312"/>
          <w:color w:val="000000" w:themeColor="text1"/>
          <w:sz w:val="32"/>
          <w:szCs w:val="32"/>
          <w:lang w:val="en-GB"/>
          <w14:textFill>
            <w14:solidFill>
              <w14:schemeClr w14:val="tx1"/>
            </w14:solidFill>
          </w14:textFill>
        </w:rPr>
        <w:t>加强对全线桥梁、隧道、边坡、路面和交通安全设施等日常检查和监测，</w:t>
      </w:r>
      <w:r>
        <w:rPr>
          <w:rFonts w:hint="eastAsia" w:ascii="仿宋_GB2312" w:hAnsi="宋体" w:eastAsia="仿宋_GB2312"/>
          <w:color w:val="000000" w:themeColor="text1"/>
          <w:sz w:val="32"/>
          <w:szCs w:val="32"/>
          <w14:textFill>
            <w14:solidFill>
              <w14:schemeClr w14:val="tx1"/>
            </w14:solidFill>
          </w14:textFill>
        </w:rPr>
        <w:t>完善检查资料，加强分析，</w:t>
      </w:r>
      <w:r>
        <w:rPr>
          <w:rFonts w:hint="eastAsia" w:ascii="仿宋_GB2312" w:hAnsi="宋体" w:eastAsia="仿宋_GB2312"/>
          <w:color w:val="000000" w:themeColor="text1"/>
          <w:sz w:val="32"/>
          <w:szCs w:val="32"/>
          <w:lang w:val="en-GB"/>
          <w14:textFill>
            <w14:solidFill>
              <w14:schemeClr w14:val="tx1"/>
            </w14:solidFill>
          </w14:textFill>
        </w:rPr>
        <w:t>发现问题及时处理</w:t>
      </w:r>
      <w:r>
        <w:rPr>
          <w:rFonts w:hint="eastAsia" w:ascii="仿宋_GB2312" w:hAnsi="宋体" w:eastAsia="仿宋_GB2312"/>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40" w:firstLineChars="200"/>
        <w:textAlignment w:val="auto"/>
        <w:outlineLvl w:val="9"/>
        <w:rPr>
          <w:rFonts w:hint="eastAsia" w:ascii="仿宋_GB2312" w:hAnsi="宋体" w:eastAsia="仿宋_GB2312" w:cs="Times New Roman"/>
          <w:color w:val="FF0000"/>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640" w:firstLineChars="200"/>
        <w:textAlignment w:val="auto"/>
        <w:outlineLvl w:val="9"/>
        <w:rPr>
          <w:rFonts w:hint="eastAsia" w:ascii="仿宋_GB2312" w:hAnsi="宋体" w:eastAsia="仿宋_GB2312" w:cs="Times New Roman"/>
          <w:color w:val="000000" w:themeColor="text1"/>
          <w:sz w:val="32"/>
          <w:szCs w:val="32"/>
          <w:lang w:val="en-US" w:eastAsia="zh-CN"/>
          <w14:textFill>
            <w14:solidFill>
              <w14:schemeClr w14:val="tx1"/>
            </w14:solidFill>
          </w14:textFill>
        </w:rPr>
      </w:pPr>
      <w:r>
        <w:rPr>
          <w:rFonts w:hint="eastAsia" w:ascii="仿宋_GB2312" w:hAnsi="宋体" w:eastAsia="仿宋_GB2312" w:cs="Times New Roman"/>
          <w:color w:val="000000" w:themeColor="text1"/>
          <w:sz w:val="32"/>
          <w:szCs w:val="32"/>
          <w:lang w:val="en-GB"/>
          <w14:textFill>
            <w14:solidFill>
              <w14:schemeClr w14:val="tx1"/>
            </w14:solidFill>
          </w14:textFill>
        </w:rPr>
        <w:t>附表：</w:t>
      </w:r>
      <w:r>
        <w:rPr>
          <w:rFonts w:hint="eastAsia" w:ascii="仿宋_GB2312" w:hAnsi="宋体" w:eastAsia="仿宋_GB2312" w:cs="Times New Roman"/>
          <w:color w:val="000000" w:themeColor="text1"/>
          <w:sz w:val="32"/>
          <w:szCs w:val="32"/>
          <w:lang w:val="en-US" w:eastAsia="zh-CN"/>
          <w14:textFill>
            <w14:solidFill>
              <w14:schemeClr w14:val="tx1"/>
            </w14:solidFill>
          </w14:textFill>
        </w:rPr>
        <w:t>1.莆炎高速公路永泰梧桐至尤溪中仙段（三明市境）</w:t>
      </w:r>
    </w:p>
    <w:p>
      <w:pPr>
        <w:keepNext w:val="0"/>
        <w:keepLines w:val="0"/>
        <w:pageBreakBefore w:val="0"/>
        <w:widowControl w:val="0"/>
        <w:kinsoku/>
        <w:wordWrap/>
        <w:overflowPunct/>
        <w:topLinePunct w:val="0"/>
        <w:autoSpaceDE/>
        <w:autoSpaceDN/>
        <w:bidi w:val="0"/>
        <w:adjustRightInd/>
        <w:snapToGrid/>
        <w:spacing w:line="590" w:lineRule="exact"/>
        <w:ind w:left="1894" w:leftChars="902" w:firstLine="5" w:firstLineChars="0"/>
        <w:textAlignment w:val="auto"/>
        <w:outlineLvl w:val="9"/>
        <w:rPr>
          <w:rFonts w:hint="eastAsia" w:ascii="仿宋_GB2312" w:hAnsi="宋体" w:eastAsia="仿宋_GB2312" w:cs="Times New Roman"/>
          <w:color w:val="000000" w:themeColor="text1"/>
          <w:sz w:val="32"/>
          <w:szCs w:val="32"/>
          <w14:textFill>
            <w14:solidFill>
              <w14:schemeClr w14:val="tx1"/>
            </w14:solidFill>
          </w14:textFill>
        </w:rPr>
      </w:pPr>
      <w:r>
        <w:rPr>
          <w:rFonts w:hint="eastAsia" w:ascii="仿宋_GB2312" w:hAnsi="宋体" w:eastAsia="仿宋_GB2312" w:cs="Times New Roman"/>
          <w:color w:val="000000" w:themeColor="text1"/>
          <w:sz w:val="32"/>
          <w:szCs w:val="32"/>
          <w14:textFill>
            <w14:solidFill>
              <w14:schemeClr w14:val="tx1"/>
            </w14:solidFill>
          </w14:textFill>
        </w:rPr>
        <w:t>参建单位一览表</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1478" w:firstLineChars="462"/>
        <w:textAlignment w:val="auto"/>
        <w:outlineLvl w:val="9"/>
        <w:rPr>
          <w:rFonts w:hint="eastAsia" w:ascii="仿宋_GB2312" w:hAnsi="宋体" w:eastAsia="仿宋_GB2312" w:cs="Times New Roman"/>
          <w:color w:val="000000" w:themeColor="text1"/>
          <w:sz w:val="32"/>
          <w:szCs w:val="32"/>
          <w:lang w:val="en-US" w:eastAsia="zh-CN"/>
          <w14:textFill>
            <w14:solidFill>
              <w14:schemeClr w14:val="tx1"/>
            </w14:solidFill>
          </w14:textFill>
        </w:rPr>
      </w:pPr>
      <w:r>
        <w:rPr>
          <w:rFonts w:hint="eastAsia" w:ascii="仿宋_GB2312" w:hAnsi="宋体" w:eastAsia="仿宋_GB2312" w:cs="Times New Roman"/>
          <w:color w:val="000000" w:themeColor="text1"/>
          <w:sz w:val="32"/>
          <w:szCs w:val="32"/>
          <w:lang w:val="en-US" w:eastAsia="zh-CN"/>
          <w14:textFill>
            <w14:solidFill>
              <w14:schemeClr w14:val="tx1"/>
            </w14:solidFill>
          </w14:textFill>
        </w:rPr>
        <w:t>2.莆炎高速公路永泰梧桐至尤溪中仙段（三明市境）</w:t>
      </w:r>
    </w:p>
    <w:p>
      <w:pPr>
        <w:keepNext w:val="0"/>
        <w:keepLines w:val="0"/>
        <w:pageBreakBefore w:val="0"/>
        <w:widowControl w:val="0"/>
        <w:kinsoku/>
        <w:wordWrap/>
        <w:overflowPunct/>
        <w:topLinePunct w:val="0"/>
        <w:autoSpaceDE/>
        <w:autoSpaceDN/>
        <w:bidi w:val="0"/>
        <w:adjustRightInd/>
        <w:snapToGrid/>
        <w:spacing w:line="590" w:lineRule="exact"/>
        <w:ind w:left="1894" w:leftChars="902" w:firstLine="5" w:firstLineChars="0"/>
        <w:textAlignment w:val="auto"/>
        <w:outlineLvl w:val="9"/>
        <w:rPr>
          <w:rFonts w:hint="eastAsia" w:ascii="仿宋_GB2312" w:hAnsi="宋体" w:eastAsia="仿宋_GB2312" w:cs="Times New Roman"/>
          <w:color w:val="000000" w:themeColor="text1"/>
          <w:sz w:val="32"/>
          <w:szCs w:val="32"/>
          <w14:textFill>
            <w14:solidFill>
              <w14:schemeClr w14:val="tx1"/>
            </w14:solidFill>
          </w14:textFill>
        </w:rPr>
      </w:pPr>
      <w:r>
        <w:rPr>
          <w:rFonts w:hint="eastAsia" w:ascii="仿宋_GB2312" w:hAnsi="宋体" w:eastAsia="仿宋_GB2312" w:cs="Times New Roman"/>
          <w:color w:val="000000" w:themeColor="text1"/>
          <w:sz w:val="32"/>
          <w:szCs w:val="32"/>
          <w14:textFill>
            <w14:solidFill>
              <w14:schemeClr w14:val="tx1"/>
            </w14:solidFill>
          </w14:textFill>
        </w:rPr>
        <w:t>竣工验收质量鉴定评分表</w:t>
      </w:r>
    </w:p>
    <w:p>
      <w:pPr>
        <w:pStyle w:val="2"/>
        <w:ind w:left="0" w:leftChars="0" w:firstLine="0" w:firstLineChars="0"/>
        <w:rPr>
          <w:rFonts w:hint="eastAsia" w:ascii="黑体" w:hAnsi="仿宋" w:eastAsia="黑体" w:cs="仿宋_GB2312"/>
          <w:color w:val="FF0000"/>
          <w:sz w:val="32"/>
          <w:szCs w:val="32"/>
          <w:lang w:val="zh-CN"/>
        </w:rPr>
      </w:pPr>
    </w:p>
    <w:p>
      <w:pPr>
        <w:pStyle w:val="2"/>
        <w:rPr>
          <w:rFonts w:hint="eastAsia" w:ascii="黑体" w:hAnsi="仿宋" w:eastAsia="黑体" w:cs="仿宋_GB2312"/>
          <w:color w:val="FF0000"/>
          <w:sz w:val="32"/>
          <w:szCs w:val="32"/>
          <w:lang w:val="zh-CN"/>
        </w:rPr>
        <w:sectPr>
          <w:footerReference r:id="rId4" w:type="default"/>
          <w:pgSz w:w="11906" w:h="16838"/>
          <w:pgMar w:top="1587" w:right="1587" w:bottom="1587" w:left="1587" w:header="851" w:footer="992" w:gutter="0"/>
          <w:pgNumType w:fmt="numberInDash" w:start="1"/>
          <w:cols w:space="720" w:num="1"/>
          <w:docGrid w:type="lines" w:linePitch="312" w:charSpace="0"/>
        </w:sect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0"/>
        <w:rPr>
          <w:rFonts w:hint="eastAsia" w:ascii="黑体" w:hAnsi="仿宋" w:eastAsia="黑体" w:cs="仿宋_GB2312"/>
          <w:color w:val="000000" w:themeColor="text1"/>
          <w:sz w:val="32"/>
          <w:szCs w:val="32"/>
          <w:lang w:val="zh-CN"/>
          <w14:textFill>
            <w14:solidFill>
              <w14:schemeClr w14:val="tx1"/>
            </w14:solidFill>
          </w14:textFill>
        </w:rPr>
      </w:pPr>
      <w:r>
        <w:rPr>
          <w:rFonts w:hint="eastAsia" w:ascii="黑体" w:hAnsi="仿宋" w:eastAsia="黑体" w:cs="仿宋_GB2312"/>
          <w:color w:val="000000" w:themeColor="text1"/>
          <w:sz w:val="32"/>
          <w:szCs w:val="32"/>
          <w:lang w:val="zh-CN"/>
          <w14:textFill>
            <w14:solidFill>
              <w14:schemeClr w14:val="tx1"/>
            </w14:solidFill>
          </w14:textFill>
        </w:rPr>
        <w:t>附表1</w:t>
      </w:r>
    </w:p>
    <w:p>
      <w:pPr>
        <w:pStyle w:val="2"/>
        <w:keepNext w:val="0"/>
        <w:keepLines w:val="0"/>
        <w:pageBreakBefore w:val="0"/>
        <w:widowControl w:val="0"/>
        <w:kinsoku/>
        <w:wordWrap/>
        <w:overflowPunct/>
        <w:topLinePunct w:val="0"/>
        <w:autoSpaceDE/>
        <w:autoSpaceDN/>
        <w:bidi w:val="0"/>
        <w:adjustRightInd/>
        <w:snapToGrid/>
        <w:spacing w:after="0"/>
        <w:textAlignment w:val="auto"/>
        <w:outlineLvl w:val="9"/>
        <w:rPr>
          <w:rFonts w:hint="eastAsia"/>
          <w:lang w:val="zh-CN"/>
        </w:rPr>
      </w:pPr>
    </w:p>
    <w:p>
      <w:pPr>
        <w:keepNext w:val="0"/>
        <w:keepLines w:val="0"/>
        <w:pageBreakBefore w:val="0"/>
        <w:widowControl/>
        <w:kinsoku/>
        <w:wordWrap/>
        <w:overflowPunct/>
        <w:topLinePunct w:val="0"/>
        <w:autoSpaceDE/>
        <w:autoSpaceDN/>
        <w:bidi w:val="0"/>
        <w:adjustRightInd/>
        <w:snapToGrid/>
        <w:spacing w:after="95" w:afterLines="30" w:line="640" w:lineRule="exact"/>
        <w:ind w:firstLine="0" w:firstLineChars="0"/>
        <w:jc w:val="center"/>
        <w:textAlignment w:val="auto"/>
        <w:outlineLvl w:val="0"/>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17"/>
          <w:sz w:val="44"/>
          <w:szCs w:val="44"/>
          <w:lang w:val="en-US" w:eastAsia="zh-CN"/>
          <w14:textFill>
            <w14:solidFill>
              <w14:schemeClr w14:val="tx1"/>
            </w14:solidFill>
          </w14:textFill>
        </w:rPr>
        <w:t>莆炎高速公路永泰梧桐至尤溪中仙段（三明市境）</w:t>
      </w:r>
    </w:p>
    <w:p>
      <w:pPr>
        <w:keepNext w:val="0"/>
        <w:keepLines w:val="0"/>
        <w:pageBreakBefore w:val="0"/>
        <w:widowControl/>
        <w:kinsoku/>
        <w:wordWrap/>
        <w:overflowPunct/>
        <w:topLinePunct w:val="0"/>
        <w:autoSpaceDE/>
        <w:autoSpaceDN/>
        <w:bidi w:val="0"/>
        <w:adjustRightInd/>
        <w:snapToGrid/>
        <w:spacing w:after="157" w:afterLines="50" w:line="640" w:lineRule="exact"/>
        <w:ind w:firstLine="0" w:firstLineChars="0"/>
        <w:jc w:val="center"/>
        <w:textAlignment w:val="auto"/>
        <w:outlineLvl w:val="0"/>
        <w:rPr>
          <w:rFonts w:hint="eastAsia" w:ascii="方正小标宋简体" w:hAnsi="方正小标宋简体" w:eastAsia="方正小标宋简体" w:cs="方正小标宋简体"/>
          <w:b w:val="0"/>
          <w:bCs w:val="0"/>
          <w:color w:val="000000" w:themeColor="text1"/>
          <w:sz w:val="32"/>
          <w:szCs w:val="32"/>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t>参建单位一览表</w:t>
      </w:r>
    </w:p>
    <w:tbl>
      <w:tblPr>
        <w:tblStyle w:val="11"/>
        <w:tblW w:w="10219" w:type="dxa"/>
        <w:jc w:val="center"/>
        <w:tblInd w:w="0" w:type="dxa"/>
        <w:tblLayout w:type="fixed"/>
        <w:tblCellMar>
          <w:top w:w="0" w:type="dxa"/>
          <w:left w:w="108" w:type="dxa"/>
          <w:bottom w:w="0" w:type="dxa"/>
          <w:right w:w="108" w:type="dxa"/>
        </w:tblCellMar>
      </w:tblPr>
      <w:tblGrid>
        <w:gridCol w:w="1084"/>
        <w:gridCol w:w="1604"/>
        <w:gridCol w:w="4365"/>
        <w:gridCol w:w="3166"/>
      </w:tblGrid>
      <w:tr>
        <w:tblPrEx>
          <w:tblLayout w:type="fixed"/>
          <w:tblCellMar>
            <w:top w:w="0" w:type="dxa"/>
            <w:left w:w="108" w:type="dxa"/>
            <w:bottom w:w="0" w:type="dxa"/>
            <w:right w:w="108" w:type="dxa"/>
          </w:tblCellMar>
        </w:tblPrEx>
        <w:trPr>
          <w:trHeight w:val="555" w:hRule="atLeast"/>
          <w:tblHeader/>
          <w:jc w:val="center"/>
        </w:trPr>
        <w:tc>
          <w:tcPr>
            <w:tcW w:w="1084"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b/>
                <w:bCs/>
                <w:color w:val="000000" w:themeColor="text1"/>
                <w:kern w:val="0"/>
                <w:sz w:val="24"/>
                <w:szCs w:val="24"/>
                <w14:textFill>
                  <w14:solidFill>
                    <w14:schemeClr w14:val="tx1"/>
                  </w14:solidFill>
                </w14:textFill>
              </w:rPr>
            </w:pPr>
            <w:r>
              <w:rPr>
                <w:rFonts w:hint="eastAsia" w:ascii="仿宋_GB2312" w:hAnsi="仿宋_GB2312" w:eastAsia="仿宋_GB2312" w:cs="仿宋_GB2312"/>
                <w:b/>
                <w:bCs/>
                <w:color w:val="000000" w:themeColor="text1"/>
                <w:kern w:val="0"/>
                <w:sz w:val="24"/>
                <w:szCs w:val="24"/>
                <w14:textFill>
                  <w14:solidFill>
                    <w14:schemeClr w14:val="tx1"/>
                  </w14:solidFill>
                </w14:textFill>
              </w:rPr>
              <w:t>序号</w:t>
            </w:r>
          </w:p>
        </w:tc>
        <w:tc>
          <w:tcPr>
            <w:tcW w:w="160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b/>
                <w:bCs/>
                <w:color w:val="000000" w:themeColor="text1"/>
                <w:kern w:val="0"/>
                <w:sz w:val="24"/>
                <w:szCs w:val="24"/>
                <w14:textFill>
                  <w14:solidFill>
                    <w14:schemeClr w14:val="tx1"/>
                  </w14:solidFill>
                </w14:textFill>
              </w:rPr>
            </w:pPr>
            <w:r>
              <w:rPr>
                <w:rFonts w:hint="eastAsia" w:ascii="仿宋_GB2312" w:hAnsi="仿宋_GB2312" w:eastAsia="仿宋_GB2312" w:cs="仿宋_GB2312"/>
                <w:b/>
                <w:bCs/>
                <w:color w:val="000000" w:themeColor="text1"/>
                <w:kern w:val="0"/>
                <w:sz w:val="24"/>
                <w:szCs w:val="24"/>
                <w14:textFill>
                  <w14:solidFill>
                    <w14:schemeClr w14:val="tx1"/>
                  </w14:solidFill>
                </w14:textFill>
              </w:rPr>
              <w:t>合同段</w:t>
            </w:r>
          </w:p>
        </w:tc>
        <w:tc>
          <w:tcPr>
            <w:tcW w:w="4365"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b/>
                <w:bCs/>
                <w:color w:val="000000" w:themeColor="text1"/>
                <w:kern w:val="0"/>
                <w:sz w:val="24"/>
                <w:szCs w:val="24"/>
                <w14:textFill>
                  <w14:solidFill>
                    <w14:schemeClr w14:val="tx1"/>
                  </w14:solidFill>
                </w14:textFill>
              </w:rPr>
            </w:pPr>
            <w:r>
              <w:rPr>
                <w:rFonts w:hint="eastAsia" w:ascii="仿宋_GB2312" w:hAnsi="仿宋_GB2312" w:eastAsia="仿宋_GB2312" w:cs="仿宋_GB2312"/>
                <w:b/>
                <w:bCs/>
                <w:color w:val="000000" w:themeColor="text1"/>
                <w:kern w:val="0"/>
                <w:sz w:val="24"/>
                <w:szCs w:val="24"/>
                <w14:textFill>
                  <w14:solidFill>
                    <w14:schemeClr w14:val="tx1"/>
                  </w14:solidFill>
                </w14:textFill>
              </w:rPr>
              <w:t>参建单位</w:t>
            </w:r>
          </w:p>
        </w:tc>
        <w:tc>
          <w:tcPr>
            <w:tcW w:w="3166"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b/>
                <w:bCs/>
                <w:color w:val="000000" w:themeColor="text1"/>
                <w:kern w:val="0"/>
                <w:sz w:val="24"/>
                <w:szCs w:val="24"/>
                <w14:textFill>
                  <w14:solidFill>
                    <w14:schemeClr w14:val="tx1"/>
                  </w14:solidFill>
                </w14:textFill>
              </w:rPr>
            </w:pPr>
            <w:r>
              <w:rPr>
                <w:rFonts w:hint="eastAsia" w:ascii="仿宋_GB2312" w:hAnsi="仿宋_GB2312" w:eastAsia="仿宋_GB2312" w:cs="仿宋_GB2312"/>
                <w:b/>
                <w:bCs/>
                <w:color w:val="000000" w:themeColor="text1"/>
                <w:kern w:val="0"/>
                <w:sz w:val="24"/>
                <w:szCs w:val="24"/>
                <w14:textFill>
                  <w14:solidFill>
                    <w14:schemeClr w14:val="tx1"/>
                  </w14:solidFill>
                </w14:textFill>
              </w:rPr>
              <w:t>备</w:t>
            </w:r>
            <w:r>
              <w:rPr>
                <w:rFonts w:hint="eastAsia" w:ascii="仿宋_GB2312" w:hAnsi="仿宋_GB2312" w:eastAsia="仿宋_GB2312" w:cs="仿宋_GB2312"/>
                <w:b/>
                <w:bCs/>
                <w:color w:val="000000" w:themeColor="text1"/>
                <w:kern w:val="0"/>
                <w:sz w:val="24"/>
                <w:szCs w:val="24"/>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kern w:val="0"/>
                <w:sz w:val="24"/>
                <w:szCs w:val="24"/>
                <w14:textFill>
                  <w14:solidFill>
                    <w14:schemeClr w14:val="tx1"/>
                  </w14:solidFill>
                </w14:textFill>
              </w:rPr>
              <w:t>注</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1</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建设单位</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三明莆炎中仙</w:t>
            </w:r>
            <w:r>
              <w:rPr>
                <w:rFonts w:hint="eastAsia" w:ascii="仿宋_GB2312" w:hAnsi="仿宋_GB2312" w:eastAsia="仿宋_GB2312" w:cs="仿宋_GB2312"/>
                <w:color w:val="000000" w:themeColor="text1"/>
                <w:kern w:val="0"/>
                <w:sz w:val="24"/>
                <w:szCs w:val="24"/>
                <w:lang w:val="en-GB" w:eastAsia="zh-CN"/>
                <w14:textFill>
                  <w14:solidFill>
                    <w14:schemeClr w14:val="tx1"/>
                  </w14:solidFill>
                </w14:textFill>
              </w:rPr>
              <w:t>高速公路有限公司</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2</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勘察、设计审查（咨询）单位</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中交第一公路勘察设计研究院有限公司</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勘察监理、设计咨询</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3</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S2</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铁道第四勘察设计院</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A1～A</w:t>
            </w: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w:t>
            </w:r>
            <w:r>
              <w:rPr>
                <w:rFonts w:hint="eastAsia" w:ascii="仿宋_GB2312" w:hAnsi="仿宋_GB2312" w:eastAsia="仿宋_GB2312" w:cs="仿宋_GB2312"/>
                <w:color w:val="000000" w:themeColor="text1"/>
                <w:kern w:val="0"/>
                <w:sz w:val="24"/>
                <w:szCs w:val="24"/>
                <w14:textFill>
                  <w14:solidFill>
                    <w14:schemeClr w14:val="tx1"/>
                  </w14:solidFill>
                </w14:textFill>
              </w:rPr>
              <w:t>合同段</w:t>
            </w:r>
            <w:r>
              <w:rPr>
                <w:rFonts w:hint="eastAsia" w:ascii="仿宋_GB2312" w:hAnsi="仿宋_GB2312" w:eastAsia="仿宋_GB2312" w:cs="仿宋_GB2312"/>
                <w:color w:val="000000" w:themeColor="text1"/>
                <w:kern w:val="0"/>
                <w:sz w:val="24"/>
                <w:szCs w:val="24"/>
                <w:lang w:eastAsia="zh-CN"/>
                <w14:textFill>
                  <w14:solidFill>
                    <w14:schemeClr w14:val="tx1"/>
                  </w14:solidFill>
                </w14:textFill>
              </w:rPr>
              <w:t>设计单位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S4</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中国公路工程咨询集团有限公司</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交安及沿线设施设计</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5</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J1</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江苏东南工程咨询有限公司</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A1、A2、A</w:t>
            </w: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3</w:t>
            </w:r>
            <w:r>
              <w:rPr>
                <w:rFonts w:hint="eastAsia" w:ascii="仿宋_GB2312" w:hAnsi="仿宋_GB2312" w:eastAsia="仿宋_GB2312" w:cs="仿宋_GB2312"/>
                <w:color w:val="000000" w:themeColor="text1"/>
                <w:kern w:val="0"/>
                <w:sz w:val="24"/>
                <w:szCs w:val="24"/>
                <w14:textFill>
                  <w14:solidFill>
                    <w14:schemeClr w14:val="tx1"/>
                  </w14:solidFill>
                </w14:textFill>
              </w:rPr>
              <w:t>、A</w:t>
            </w: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w:t>
            </w:r>
            <w:r>
              <w:rPr>
                <w:rFonts w:hint="eastAsia" w:ascii="仿宋_GB2312" w:hAnsi="仿宋_GB2312" w:eastAsia="仿宋_GB2312" w:cs="仿宋_GB2312"/>
                <w:color w:val="000000" w:themeColor="text1"/>
                <w:kern w:val="0"/>
                <w:sz w:val="24"/>
                <w:szCs w:val="24"/>
                <w14:textFill>
                  <w14:solidFill>
                    <w14:schemeClr w14:val="tx1"/>
                  </w14:solidFill>
                </w14:textFill>
              </w:rPr>
              <w:t>、B合同段</w:t>
            </w:r>
            <w:r>
              <w:rPr>
                <w:rFonts w:hint="eastAsia" w:ascii="仿宋_GB2312" w:hAnsi="仿宋_GB2312" w:eastAsia="仿宋_GB2312" w:cs="仿宋_GB2312"/>
                <w:color w:val="000000" w:themeColor="text1"/>
                <w:kern w:val="0"/>
                <w:sz w:val="24"/>
                <w:szCs w:val="24"/>
                <w:lang w:eastAsia="zh-CN"/>
                <w14:textFill>
                  <w14:solidFill>
                    <w14:schemeClr w14:val="tx1"/>
                  </w14:solidFill>
                </w14:textFill>
              </w:rPr>
              <w:t>监理单位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6</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EJ</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江西通慧科技股份有限公司</w:t>
            </w:r>
          </w:p>
        </w:tc>
        <w:tc>
          <w:tcPr>
            <w:tcW w:w="3166"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E、ED合同段</w:t>
            </w:r>
            <w:r>
              <w:rPr>
                <w:rFonts w:hint="eastAsia" w:ascii="仿宋_GB2312" w:hAnsi="仿宋_GB2312" w:eastAsia="仿宋_GB2312" w:cs="仿宋_GB2312"/>
                <w:color w:val="000000" w:themeColor="text1"/>
                <w:kern w:val="0"/>
                <w:sz w:val="24"/>
                <w:szCs w:val="24"/>
                <w:lang w:eastAsia="zh-CN"/>
                <w14:textFill>
                  <w14:solidFill>
                    <w14:schemeClr w14:val="tx1"/>
                  </w14:solidFill>
                </w14:textFill>
              </w:rPr>
              <w:t>监理单位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7</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A1</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中铁二十三局集团第一工程有限公司</w:t>
            </w:r>
          </w:p>
        </w:tc>
        <w:tc>
          <w:tcPr>
            <w:tcW w:w="3166" w:type="dxa"/>
            <w:vMerge w:val="restart"/>
            <w:tcBorders>
              <w:top w:val="nil"/>
              <w:left w:val="single" w:color="auto" w:sz="4" w:space="0"/>
              <w:bottom w:val="nil"/>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路基土建施工单位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8</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A2</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中铁十七局集团有限公司</w:t>
            </w:r>
          </w:p>
        </w:tc>
        <w:tc>
          <w:tcPr>
            <w:tcW w:w="3166" w:type="dxa"/>
            <w:vMerge w:val="continue"/>
            <w:tcBorders>
              <w:top w:val="nil"/>
              <w:left w:val="single" w:color="auto" w:sz="4" w:space="0"/>
              <w:bottom w:val="nil"/>
              <w:right w:val="single" w:color="auto" w:sz="4" w:space="0"/>
            </w:tcBorders>
            <w:vAlign w:val="center"/>
          </w:tcPr>
          <w:p>
            <w:pPr>
              <w:widowControl/>
              <w:ind w:firstLine="0" w:firstLineChars="0"/>
              <w:jc w:val="left"/>
              <w:rPr>
                <w:rFonts w:hint="eastAsia" w:ascii="仿宋_GB2312" w:hAnsi="仿宋_GB2312" w:eastAsia="仿宋_GB2312" w:cs="仿宋_GB2312"/>
                <w:color w:val="000000" w:themeColor="text1"/>
                <w:kern w:val="0"/>
                <w:sz w:val="24"/>
                <w:szCs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9</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A3</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中铁十二局集团有限公司</w:t>
            </w:r>
          </w:p>
        </w:tc>
        <w:tc>
          <w:tcPr>
            <w:tcW w:w="3166" w:type="dxa"/>
            <w:vMerge w:val="continue"/>
            <w:tcBorders>
              <w:top w:val="nil"/>
              <w:left w:val="single" w:color="auto" w:sz="4" w:space="0"/>
              <w:bottom w:val="nil"/>
              <w:right w:val="single" w:color="auto" w:sz="4" w:space="0"/>
            </w:tcBorders>
            <w:vAlign w:val="center"/>
          </w:tcPr>
          <w:p>
            <w:pPr>
              <w:widowControl/>
              <w:ind w:firstLine="0" w:firstLineChars="0"/>
              <w:jc w:val="left"/>
              <w:rPr>
                <w:rFonts w:hint="eastAsia" w:ascii="仿宋_GB2312" w:hAnsi="仿宋_GB2312" w:eastAsia="仿宋_GB2312" w:cs="仿宋_GB2312"/>
                <w:color w:val="000000" w:themeColor="text1"/>
                <w:kern w:val="0"/>
                <w:sz w:val="24"/>
                <w:szCs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10</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A4</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湖南路桥建设集团有限责任公司</w:t>
            </w:r>
          </w:p>
        </w:tc>
        <w:tc>
          <w:tcPr>
            <w:tcW w:w="3166" w:type="dxa"/>
            <w:vMerge w:val="continue"/>
            <w:tcBorders>
              <w:top w:val="nil"/>
              <w:left w:val="single" w:color="auto" w:sz="4" w:space="0"/>
              <w:bottom w:val="nil"/>
              <w:right w:val="single" w:color="auto" w:sz="4" w:space="0"/>
            </w:tcBorders>
            <w:vAlign w:val="center"/>
          </w:tcPr>
          <w:p>
            <w:pPr>
              <w:widowControl/>
              <w:ind w:firstLine="0" w:firstLineChars="0"/>
              <w:jc w:val="left"/>
              <w:rPr>
                <w:rFonts w:hint="eastAsia" w:ascii="仿宋_GB2312" w:hAnsi="仿宋_GB2312" w:eastAsia="仿宋_GB2312" w:cs="仿宋_GB2312"/>
                <w:color w:val="000000" w:themeColor="text1"/>
                <w:kern w:val="0"/>
                <w:sz w:val="24"/>
                <w:szCs w:val="24"/>
                <w14:textFill>
                  <w14:solidFill>
                    <w14:schemeClr w14:val="tx1"/>
                  </w14:solidFill>
                </w14:textFill>
              </w:rPr>
            </w:pP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11</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B</w:t>
            </w:r>
          </w:p>
        </w:tc>
        <w:tc>
          <w:tcPr>
            <w:tcW w:w="4365"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福建省路桥建设有限公司</w:t>
            </w:r>
          </w:p>
        </w:tc>
        <w:tc>
          <w:tcPr>
            <w:tcW w:w="3166"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路面（含交安、绿化）施工单位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12</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中铁十二局集团电气化工程有限公司</w:t>
            </w:r>
          </w:p>
        </w:tc>
        <w:tc>
          <w:tcPr>
            <w:tcW w:w="3166" w:type="dxa"/>
            <w:vMerge w:val="restart"/>
            <w:tcBorders>
              <w:top w:val="nil"/>
              <w:left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机电施工单位</w:t>
            </w:r>
          </w:p>
        </w:tc>
      </w:tr>
      <w:tr>
        <w:tblPrEx>
          <w:tblLayout w:type="fixed"/>
          <w:tblCellMar>
            <w:top w:w="0" w:type="dxa"/>
            <w:left w:w="108" w:type="dxa"/>
            <w:bottom w:w="0" w:type="dxa"/>
            <w:right w:w="108" w:type="dxa"/>
          </w:tblCellMar>
        </w:tblPrEx>
        <w:trPr>
          <w:trHeight w:val="567" w:hRule="atLeast"/>
          <w:jc w:val="center"/>
        </w:trPr>
        <w:tc>
          <w:tcPr>
            <w:tcW w:w="108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13</w:t>
            </w:r>
          </w:p>
        </w:tc>
        <w:tc>
          <w:tcPr>
            <w:tcW w:w="1604"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ED</w:t>
            </w:r>
          </w:p>
        </w:tc>
        <w:tc>
          <w:tcPr>
            <w:tcW w:w="43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新大陆数字技术股份有限公司</w:t>
            </w:r>
          </w:p>
        </w:tc>
        <w:tc>
          <w:tcPr>
            <w:tcW w:w="3166" w:type="dxa"/>
            <w:vMerge w:val="continue"/>
            <w:tcBorders>
              <w:top w:val="nil"/>
              <w:left w:val="single" w:color="auto" w:sz="4" w:space="0"/>
              <w:bottom w:val="single" w:color="000000" w:sz="4" w:space="0"/>
              <w:right w:val="single" w:color="auto" w:sz="4" w:space="0"/>
            </w:tcBorders>
            <w:vAlign w:val="center"/>
          </w:tcPr>
          <w:p>
            <w:pPr>
              <w:widowControl/>
              <w:ind w:firstLine="0" w:firstLineChars="0"/>
              <w:jc w:val="left"/>
              <w:rPr>
                <w:rFonts w:hint="eastAsia" w:ascii="仿宋_GB2312" w:hAnsi="仿宋_GB2312" w:eastAsia="仿宋_GB2312" w:cs="仿宋_GB2312"/>
                <w:color w:val="000000" w:themeColor="text1"/>
                <w:kern w:val="0"/>
                <w:sz w:val="24"/>
                <w:szCs w:val="24"/>
                <w14:textFill>
                  <w14:solidFill>
                    <w14:schemeClr w14:val="tx1"/>
                  </w14:solidFill>
                </w14:textFill>
              </w:rPr>
            </w:pPr>
          </w:p>
        </w:tc>
      </w:tr>
    </w:tbl>
    <w:p>
      <w:pPr>
        <w:pStyle w:val="7"/>
        <w:jc w:val="left"/>
        <w:rPr>
          <w:rFonts w:hint="eastAsia"/>
          <w:color w:val="FF0000"/>
          <w:lang w:val="en-US" w:eastAsia="zh-CN"/>
        </w:r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9"/>
        <w:rPr>
          <w:rFonts w:hint="eastAsia" w:ascii="黑体" w:hAnsi="黑体" w:eastAsia="黑体" w:cs="黑体"/>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90" w:lineRule="exact"/>
        <w:textAlignment w:val="auto"/>
        <w:outlineLvl w:val="9"/>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附表2</w:t>
      </w:r>
    </w:p>
    <w:p>
      <w:pPr>
        <w:pStyle w:val="2"/>
        <w:keepNext w:val="0"/>
        <w:keepLines w:val="0"/>
        <w:pageBreakBefore w:val="0"/>
        <w:widowControl w:val="0"/>
        <w:kinsoku/>
        <w:wordWrap/>
        <w:overflowPunct/>
        <w:topLinePunct w:val="0"/>
        <w:autoSpaceDE/>
        <w:autoSpaceDN/>
        <w:bidi w:val="0"/>
        <w:adjustRightInd/>
        <w:snapToGrid/>
        <w:spacing w:after="0"/>
        <w:textAlignment w:val="auto"/>
        <w:outlineLvl w:val="9"/>
        <w:rPr>
          <w:rFonts w:hint="eastAsia"/>
          <w:lang w:eastAsia="zh-CN"/>
        </w:rPr>
      </w:pPr>
    </w:p>
    <w:p>
      <w:pPr>
        <w:keepNext w:val="0"/>
        <w:keepLines w:val="0"/>
        <w:pageBreakBefore w:val="0"/>
        <w:widowControl/>
        <w:kinsoku/>
        <w:wordWrap/>
        <w:overflowPunct/>
        <w:topLinePunct w:val="0"/>
        <w:autoSpaceDE/>
        <w:autoSpaceDN/>
        <w:bidi w:val="0"/>
        <w:adjustRightInd/>
        <w:snapToGrid/>
        <w:spacing w:after="95" w:afterLines="30" w:line="640" w:lineRule="exact"/>
        <w:jc w:val="center"/>
        <w:textAlignment w:val="auto"/>
        <w:outlineLvl w:val="0"/>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17"/>
          <w:sz w:val="44"/>
          <w:szCs w:val="44"/>
          <w:lang w:val="en-US" w:eastAsia="zh-CN"/>
          <w14:textFill>
            <w14:solidFill>
              <w14:schemeClr w14:val="tx1"/>
            </w14:solidFill>
          </w14:textFill>
        </w:rPr>
        <w:t>莆炎高速公路永泰梧桐至尤溪中仙段（三明市境）</w:t>
      </w:r>
    </w:p>
    <w:p>
      <w:pPr>
        <w:keepNext w:val="0"/>
        <w:keepLines w:val="0"/>
        <w:pageBreakBefore w:val="0"/>
        <w:widowControl/>
        <w:kinsoku/>
        <w:wordWrap/>
        <w:overflowPunct/>
        <w:topLinePunct w:val="0"/>
        <w:autoSpaceDE/>
        <w:autoSpaceDN/>
        <w:bidi w:val="0"/>
        <w:adjustRightInd/>
        <w:snapToGrid/>
        <w:spacing w:after="157" w:afterLines="50" w:line="640" w:lineRule="exact"/>
        <w:jc w:val="center"/>
        <w:textAlignment w:val="auto"/>
        <w:outlineLvl w:val="0"/>
        <w:rPr>
          <w:rFonts w:hint="eastAsia"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t>竣工验收质量鉴定评分表</w:t>
      </w:r>
    </w:p>
    <w:tbl>
      <w:tblPr>
        <w:tblStyle w:val="11"/>
        <w:tblW w:w="10260" w:type="dxa"/>
        <w:jc w:val="center"/>
        <w:tblInd w:w="0" w:type="dxa"/>
        <w:tblLayout w:type="fixed"/>
        <w:tblCellMar>
          <w:top w:w="0" w:type="dxa"/>
          <w:left w:w="108" w:type="dxa"/>
          <w:bottom w:w="0" w:type="dxa"/>
          <w:right w:w="108" w:type="dxa"/>
        </w:tblCellMar>
      </w:tblPr>
      <w:tblGrid>
        <w:gridCol w:w="975"/>
        <w:gridCol w:w="3360"/>
        <w:gridCol w:w="915"/>
        <w:gridCol w:w="1410"/>
        <w:gridCol w:w="1965"/>
        <w:gridCol w:w="810"/>
        <w:gridCol w:w="825"/>
      </w:tblGrid>
      <w:tr>
        <w:tblPrEx>
          <w:tblLayout w:type="fixed"/>
          <w:tblCellMar>
            <w:top w:w="0" w:type="dxa"/>
            <w:left w:w="108" w:type="dxa"/>
            <w:bottom w:w="0" w:type="dxa"/>
            <w:right w:w="108" w:type="dxa"/>
          </w:tblCellMar>
        </w:tblPrEx>
        <w:trPr>
          <w:trHeight w:val="706" w:hRule="atLeast"/>
          <w:tblHeader/>
          <w:jc w:val="center"/>
        </w:trPr>
        <w:tc>
          <w:tcPr>
            <w:tcW w:w="97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合同段</w:t>
            </w:r>
          </w:p>
        </w:tc>
        <w:tc>
          <w:tcPr>
            <w:tcW w:w="3360"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施工单位</w:t>
            </w:r>
          </w:p>
        </w:tc>
        <w:tc>
          <w:tcPr>
            <w:tcW w:w="915"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实得分</w:t>
            </w:r>
          </w:p>
        </w:tc>
        <w:tc>
          <w:tcPr>
            <w:tcW w:w="1410"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投资额</w:t>
            </w:r>
          </w:p>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 xml:space="preserve">(万元) </w:t>
            </w:r>
          </w:p>
        </w:tc>
        <w:tc>
          <w:tcPr>
            <w:tcW w:w="1965"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实得分×投资额</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质量</w:t>
            </w:r>
          </w:p>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等级</w:t>
            </w:r>
          </w:p>
        </w:tc>
        <w:tc>
          <w:tcPr>
            <w:tcW w:w="825"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b/>
                <w:bCs/>
                <w:color w:val="000000" w:themeColor="text1"/>
                <w:kern w:val="0"/>
                <w:sz w:val="24"/>
                <w:szCs w:val="24"/>
                <w:lang w:bidi="ar"/>
                <w14:textFill>
                  <w14:solidFill>
                    <w14:schemeClr w14:val="tx1"/>
                  </w14:solidFill>
                </w14:textFill>
              </w:rPr>
              <w:t>备注</w:t>
            </w:r>
          </w:p>
        </w:tc>
      </w:tr>
      <w:tr>
        <w:tblPrEx>
          <w:tblLayout w:type="fixed"/>
          <w:tblCellMar>
            <w:top w:w="0" w:type="dxa"/>
            <w:left w:w="108" w:type="dxa"/>
            <w:bottom w:w="0" w:type="dxa"/>
            <w:right w:w="108" w:type="dxa"/>
          </w:tblCellMar>
        </w:tblPrEx>
        <w:trPr>
          <w:trHeight w:val="642"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A1</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中铁二十三局集团第一工程有限公司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92.9</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48791.95 </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4532772.155</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FF0000"/>
                <w:kern w:val="0"/>
                <w:sz w:val="24"/>
                <w:szCs w:val="24"/>
                <w:lang w:bidi="ar"/>
              </w:rPr>
            </w:pPr>
          </w:p>
        </w:tc>
      </w:tr>
      <w:tr>
        <w:tblPrEx>
          <w:tblLayout w:type="fixed"/>
          <w:tblCellMar>
            <w:top w:w="0" w:type="dxa"/>
            <w:left w:w="108" w:type="dxa"/>
            <w:bottom w:w="0" w:type="dxa"/>
            <w:right w:w="108" w:type="dxa"/>
          </w:tblCellMar>
        </w:tblPrEx>
        <w:trPr>
          <w:trHeight w:val="706"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A2</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中铁十七局集团有限公司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91.4</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37539.18</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3431081.052</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FF0000"/>
                <w:kern w:val="0"/>
                <w:sz w:val="24"/>
                <w:szCs w:val="24"/>
                <w:lang w:bidi="ar"/>
              </w:rPr>
            </w:pPr>
          </w:p>
        </w:tc>
      </w:tr>
      <w:tr>
        <w:tblPrEx>
          <w:tblLayout w:type="fixed"/>
          <w:tblCellMar>
            <w:top w:w="0" w:type="dxa"/>
            <w:left w:w="108" w:type="dxa"/>
            <w:bottom w:w="0" w:type="dxa"/>
            <w:right w:w="108" w:type="dxa"/>
          </w:tblCellMar>
        </w:tblPrEx>
        <w:trPr>
          <w:trHeight w:val="706"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A3</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中铁十二局集团有限公司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91.8 </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48222.41 </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4426817.238</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706"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A4</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湖南路桥建设集团有限责任公司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89.6 </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49546.17 </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4439336.832</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合格</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642"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B</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福建省路桥建设有限公司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93.04 </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24168.34</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2248622.3536</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642"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中铁十二局集团电气化工程有限公司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92.4</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4026.87</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372082.788 </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918" w:hRule="atLeast"/>
          <w:jc w:val="center"/>
        </w:trPr>
        <w:tc>
          <w:tcPr>
            <w:tcW w:w="975"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ED</w:t>
            </w:r>
          </w:p>
        </w:tc>
        <w:tc>
          <w:tcPr>
            <w:tcW w:w="336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新大陆数字技术股份有限公司</w:t>
            </w:r>
          </w:p>
        </w:tc>
        <w:tc>
          <w:tcPr>
            <w:tcW w:w="91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 xml:space="preserve">93.3 </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6528.76</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609133.308</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优良</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552" w:hRule="atLeast"/>
          <w:jc w:val="center"/>
        </w:trPr>
        <w:tc>
          <w:tcPr>
            <w:tcW w:w="5250" w:type="dxa"/>
            <w:gridSpan w:val="3"/>
            <w:tcBorders>
              <w:top w:val="nil"/>
              <w:left w:val="single" w:color="auto" w:sz="4" w:space="0"/>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合计</w:t>
            </w:r>
          </w:p>
        </w:tc>
        <w:tc>
          <w:tcPr>
            <w:tcW w:w="14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218823.68</w:t>
            </w:r>
          </w:p>
        </w:tc>
        <w:tc>
          <w:tcPr>
            <w:tcW w:w="1965"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20059845.7266</w:t>
            </w:r>
          </w:p>
        </w:tc>
        <w:tc>
          <w:tcPr>
            <w:tcW w:w="810" w:type="dxa"/>
            <w:tcBorders>
              <w:top w:val="nil"/>
              <w:left w:val="nil"/>
              <w:bottom w:val="single" w:color="auto" w:sz="4" w:space="0"/>
              <w:right w:val="single" w:color="auto" w:sz="4" w:space="0"/>
            </w:tcBorders>
            <w:vAlign w:val="center"/>
          </w:tcPr>
          <w:p>
            <w:pPr>
              <w:widowControl/>
              <w:ind w:firstLine="0" w:firstLineChars="0"/>
              <w:jc w:val="cente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1083" w:hRule="atLeast"/>
          <w:jc w:val="center"/>
        </w:trPr>
        <w:tc>
          <w:tcPr>
            <w:tcW w:w="433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建设项目工程</w:t>
            </w:r>
          </w:p>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质量鉴定得分</w:t>
            </w:r>
          </w:p>
        </w:tc>
        <w:tc>
          <w:tcPr>
            <w:tcW w:w="91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w:t>
            </w:r>
          </w:p>
        </w:tc>
        <w:tc>
          <w:tcPr>
            <w:tcW w:w="3375" w:type="dxa"/>
            <w:gridSpan w:val="2"/>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∑〔合同段工程质量鉴定得分</w:t>
            </w:r>
          </w:p>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×合同段工程投资额〕</w:t>
            </w:r>
          </w:p>
        </w:tc>
        <w:tc>
          <w:tcPr>
            <w:tcW w:w="810" w:type="dxa"/>
            <w:vMerge w:val="restart"/>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w:t>
            </w:r>
          </w:p>
        </w:tc>
        <w:tc>
          <w:tcPr>
            <w:tcW w:w="825" w:type="dxa"/>
            <w:vMerge w:val="restart"/>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val="en-US" w:eastAsia="zh-CN"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bidi="ar"/>
                <w14:textFill>
                  <w14:solidFill>
                    <w14:schemeClr w14:val="tx1"/>
                  </w14:solidFill>
                </w14:textFill>
              </w:rPr>
              <w:t>91.67</w:t>
            </w:r>
          </w:p>
        </w:tc>
      </w:tr>
      <w:tr>
        <w:tblPrEx>
          <w:tblLayout w:type="fixed"/>
          <w:tblCellMar>
            <w:top w:w="0" w:type="dxa"/>
            <w:left w:w="108" w:type="dxa"/>
            <w:bottom w:w="0" w:type="dxa"/>
            <w:right w:w="108" w:type="dxa"/>
          </w:tblCellMar>
        </w:tblPrEx>
        <w:trPr>
          <w:trHeight w:val="559" w:hRule="atLeast"/>
          <w:jc w:val="center"/>
        </w:trPr>
        <w:tc>
          <w:tcPr>
            <w:tcW w:w="433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c>
          <w:tcPr>
            <w:tcW w:w="91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c>
          <w:tcPr>
            <w:tcW w:w="3375" w:type="dxa"/>
            <w:gridSpan w:val="2"/>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∑合同段工程投资额</w:t>
            </w:r>
          </w:p>
        </w:tc>
        <w:tc>
          <w:tcPr>
            <w:tcW w:w="810"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c>
          <w:tcPr>
            <w:tcW w:w="825"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p>
        </w:tc>
      </w:tr>
      <w:tr>
        <w:tblPrEx>
          <w:tblLayout w:type="fixed"/>
          <w:tblCellMar>
            <w:top w:w="0" w:type="dxa"/>
            <w:left w:w="108" w:type="dxa"/>
            <w:bottom w:w="0" w:type="dxa"/>
            <w:right w:w="108" w:type="dxa"/>
          </w:tblCellMar>
        </w:tblPrEx>
        <w:trPr>
          <w:trHeight w:val="648" w:hRule="atLeast"/>
          <w:jc w:val="center"/>
        </w:trPr>
        <w:tc>
          <w:tcPr>
            <w:tcW w:w="9435"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建设项目工程质量等级</w:t>
            </w:r>
          </w:p>
        </w:tc>
        <w:tc>
          <w:tcPr>
            <w:tcW w:w="825"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bidi="ar"/>
                <w14:textFill>
                  <w14:solidFill>
                    <w14:schemeClr w14:val="tx1"/>
                  </w14:solidFill>
                </w14:textFill>
              </w:rPr>
            </w:pPr>
            <w:r>
              <w:rPr>
                <w:rFonts w:hint="eastAsia" w:ascii="仿宋_GB2312" w:hAnsi="仿宋_GB2312" w:eastAsia="仿宋_GB2312" w:cs="仿宋_GB2312"/>
                <w:color w:val="000000" w:themeColor="text1"/>
                <w:kern w:val="0"/>
                <w:sz w:val="24"/>
                <w:szCs w:val="24"/>
                <w:lang w:bidi="ar"/>
                <w14:textFill>
                  <w14:solidFill>
                    <w14:schemeClr w14:val="tx1"/>
                  </w14:solidFill>
                </w14:textFill>
              </w:rPr>
              <w:t>优良</w:t>
            </w:r>
          </w:p>
        </w:tc>
      </w:tr>
    </w:tbl>
    <w:p>
      <w:pPr>
        <w:pStyle w:val="6"/>
        <w:keepNext w:val="0"/>
        <w:keepLines w:val="0"/>
        <w:pageBreakBefore w:val="0"/>
        <w:widowControl w:val="0"/>
        <w:kinsoku/>
        <w:wordWrap/>
        <w:overflowPunct/>
        <w:topLinePunct w:val="0"/>
        <w:autoSpaceDE/>
        <w:autoSpaceDN/>
        <w:bidi w:val="0"/>
        <w:adjustRightInd/>
        <w:snapToGrid/>
        <w:spacing w:line="240" w:lineRule="exact"/>
        <w:jc w:val="both"/>
        <w:textAlignment w:val="auto"/>
        <w:outlineLvl w:val="9"/>
        <w:rPr>
          <w:color w:val="FF0000"/>
        </w:rPr>
      </w:pPr>
    </w:p>
    <w:sectPr>
      <w:footerReference r:id="rId5" w:type="default"/>
      <w:pgSz w:w="11906" w:h="16838"/>
      <w:pgMar w:top="1587" w:right="1587" w:bottom="1587" w:left="1587" w:header="851" w:footer="992" w:gutter="0"/>
      <w:pgNumType w:fmt="numberInDash" w:start="9"/>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1"/>
      </w:pBdr>
      <w:tabs>
        <w:tab w:val="left" w:pos="5342"/>
      </w:tabs>
      <w:jc w:val="left"/>
      <w:rPr>
        <w:rFonts w:hint="eastAsia" w:eastAsia="宋体"/>
        <w:lang w:eastAsia="zh-CN"/>
      </w:rPr>
    </w:pPr>
    <w:r>
      <w:rPr>
        <w:rFonts w:hint="eastAsia"/>
        <w:lang w:eastAsia="zh-CN"/>
      </w:rPr>
      <w:tab/>
    </w:r>
    <w:r>
      <w:rPr>
        <w:rFonts w:hint="eastAsia"/>
        <w:lang w:eastAsia="zh-CN"/>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YyNDliMDk3MDNmYTcyZTY4NWMxYmJjNjJlMjIwYTAifQ=="/>
  </w:docVars>
  <w:rsids>
    <w:rsidRoot w:val="00172A27"/>
    <w:rsid w:val="0009713B"/>
    <w:rsid w:val="0013677B"/>
    <w:rsid w:val="00172A27"/>
    <w:rsid w:val="003E582E"/>
    <w:rsid w:val="00485470"/>
    <w:rsid w:val="00500B1C"/>
    <w:rsid w:val="007061C6"/>
    <w:rsid w:val="007736D0"/>
    <w:rsid w:val="007E2229"/>
    <w:rsid w:val="00832912"/>
    <w:rsid w:val="00A43D4D"/>
    <w:rsid w:val="00B523EE"/>
    <w:rsid w:val="00B76290"/>
    <w:rsid w:val="00C05208"/>
    <w:rsid w:val="00C41523"/>
    <w:rsid w:val="00C63856"/>
    <w:rsid w:val="00E47490"/>
    <w:rsid w:val="00EB6626"/>
    <w:rsid w:val="0123468D"/>
    <w:rsid w:val="0124359A"/>
    <w:rsid w:val="01583748"/>
    <w:rsid w:val="01607A1B"/>
    <w:rsid w:val="017619AC"/>
    <w:rsid w:val="017D64F2"/>
    <w:rsid w:val="01BC24A9"/>
    <w:rsid w:val="01C2353C"/>
    <w:rsid w:val="01D137BF"/>
    <w:rsid w:val="01FB086E"/>
    <w:rsid w:val="028C10F8"/>
    <w:rsid w:val="030F07F9"/>
    <w:rsid w:val="034350D4"/>
    <w:rsid w:val="035940E7"/>
    <w:rsid w:val="036F0B4D"/>
    <w:rsid w:val="03A12D01"/>
    <w:rsid w:val="03AC7D7B"/>
    <w:rsid w:val="04471EAD"/>
    <w:rsid w:val="04553F6E"/>
    <w:rsid w:val="04BF5456"/>
    <w:rsid w:val="052F7A7D"/>
    <w:rsid w:val="053567DD"/>
    <w:rsid w:val="05437DEB"/>
    <w:rsid w:val="056F7C66"/>
    <w:rsid w:val="05827CE6"/>
    <w:rsid w:val="05D435B9"/>
    <w:rsid w:val="05ED7C29"/>
    <w:rsid w:val="06380884"/>
    <w:rsid w:val="06CF42BD"/>
    <w:rsid w:val="07013573"/>
    <w:rsid w:val="07826C78"/>
    <w:rsid w:val="08375678"/>
    <w:rsid w:val="085F0471"/>
    <w:rsid w:val="08615627"/>
    <w:rsid w:val="08D642EF"/>
    <w:rsid w:val="09552FEF"/>
    <w:rsid w:val="09674794"/>
    <w:rsid w:val="0A2F1B96"/>
    <w:rsid w:val="0AB83292"/>
    <w:rsid w:val="0AD25940"/>
    <w:rsid w:val="0AE672B3"/>
    <w:rsid w:val="0B96493D"/>
    <w:rsid w:val="0BCD6CD9"/>
    <w:rsid w:val="0C34470E"/>
    <w:rsid w:val="0C731DE8"/>
    <w:rsid w:val="0C7900E0"/>
    <w:rsid w:val="0E4A43E5"/>
    <w:rsid w:val="0E7E2314"/>
    <w:rsid w:val="0E9D62DD"/>
    <w:rsid w:val="0F576D70"/>
    <w:rsid w:val="100A4CC5"/>
    <w:rsid w:val="102B64CB"/>
    <w:rsid w:val="11065961"/>
    <w:rsid w:val="11505FBD"/>
    <w:rsid w:val="1170063A"/>
    <w:rsid w:val="11E2267D"/>
    <w:rsid w:val="12443874"/>
    <w:rsid w:val="12811EB4"/>
    <w:rsid w:val="12873C0E"/>
    <w:rsid w:val="1290562E"/>
    <w:rsid w:val="130B49C9"/>
    <w:rsid w:val="130D4CE0"/>
    <w:rsid w:val="13E4549B"/>
    <w:rsid w:val="149306FB"/>
    <w:rsid w:val="14A31845"/>
    <w:rsid w:val="14D902A4"/>
    <w:rsid w:val="152837D3"/>
    <w:rsid w:val="15831C1A"/>
    <w:rsid w:val="15907B26"/>
    <w:rsid w:val="15E21042"/>
    <w:rsid w:val="15F059F1"/>
    <w:rsid w:val="16804273"/>
    <w:rsid w:val="17C90251"/>
    <w:rsid w:val="18514976"/>
    <w:rsid w:val="186F0024"/>
    <w:rsid w:val="196C1FF9"/>
    <w:rsid w:val="19CF47D7"/>
    <w:rsid w:val="1A2A2911"/>
    <w:rsid w:val="1A756690"/>
    <w:rsid w:val="1A85050D"/>
    <w:rsid w:val="1A94124A"/>
    <w:rsid w:val="1B7A64A4"/>
    <w:rsid w:val="1BB6025A"/>
    <w:rsid w:val="1C3B1958"/>
    <w:rsid w:val="1C746E2A"/>
    <w:rsid w:val="1C956302"/>
    <w:rsid w:val="1CCB487E"/>
    <w:rsid w:val="1CDD2007"/>
    <w:rsid w:val="1D1E0FE3"/>
    <w:rsid w:val="1D4924AA"/>
    <w:rsid w:val="1E366E6E"/>
    <w:rsid w:val="1E4D72C9"/>
    <w:rsid w:val="1E6B3A59"/>
    <w:rsid w:val="1F0753B3"/>
    <w:rsid w:val="208E11DB"/>
    <w:rsid w:val="209F0623"/>
    <w:rsid w:val="20BB259F"/>
    <w:rsid w:val="20F07504"/>
    <w:rsid w:val="213E0916"/>
    <w:rsid w:val="214758BE"/>
    <w:rsid w:val="21812F8C"/>
    <w:rsid w:val="22150853"/>
    <w:rsid w:val="22207092"/>
    <w:rsid w:val="22546370"/>
    <w:rsid w:val="22843107"/>
    <w:rsid w:val="22BA4035"/>
    <w:rsid w:val="22CE28D1"/>
    <w:rsid w:val="23CD5478"/>
    <w:rsid w:val="23E52F13"/>
    <w:rsid w:val="24205264"/>
    <w:rsid w:val="24306A5E"/>
    <w:rsid w:val="24CC08D9"/>
    <w:rsid w:val="25C62052"/>
    <w:rsid w:val="25D36F91"/>
    <w:rsid w:val="26704145"/>
    <w:rsid w:val="2710054D"/>
    <w:rsid w:val="28711A23"/>
    <w:rsid w:val="288110F0"/>
    <w:rsid w:val="28FB4835"/>
    <w:rsid w:val="29191E28"/>
    <w:rsid w:val="2927387C"/>
    <w:rsid w:val="297C4FDB"/>
    <w:rsid w:val="29AA29C3"/>
    <w:rsid w:val="2A396B87"/>
    <w:rsid w:val="2A473AAA"/>
    <w:rsid w:val="2BDE1084"/>
    <w:rsid w:val="2C897B5D"/>
    <w:rsid w:val="2CA25E12"/>
    <w:rsid w:val="2E812C36"/>
    <w:rsid w:val="2EA63BFE"/>
    <w:rsid w:val="2F6F1F3E"/>
    <w:rsid w:val="2FA60F42"/>
    <w:rsid w:val="2FCE304D"/>
    <w:rsid w:val="2FD63906"/>
    <w:rsid w:val="2FFA086E"/>
    <w:rsid w:val="3125303E"/>
    <w:rsid w:val="318B4231"/>
    <w:rsid w:val="32027700"/>
    <w:rsid w:val="32103FEE"/>
    <w:rsid w:val="32811C86"/>
    <w:rsid w:val="32DB5A0C"/>
    <w:rsid w:val="332B0A9C"/>
    <w:rsid w:val="33A73C1A"/>
    <w:rsid w:val="33C36A1D"/>
    <w:rsid w:val="341C4CBA"/>
    <w:rsid w:val="34363EFB"/>
    <w:rsid w:val="34481552"/>
    <w:rsid w:val="34E14360"/>
    <w:rsid w:val="35246547"/>
    <w:rsid w:val="352868DD"/>
    <w:rsid w:val="3609139D"/>
    <w:rsid w:val="372E5709"/>
    <w:rsid w:val="37861C73"/>
    <w:rsid w:val="3870597D"/>
    <w:rsid w:val="389425B0"/>
    <w:rsid w:val="38CC7FAC"/>
    <w:rsid w:val="39342C95"/>
    <w:rsid w:val="3943258F"/>
    <w:rsid w:val="399D6EB8"/>
    <w:rsid w:val="3AD85732"/>
    <w:rsid w:val="3AE30879"/>
    <w:rsid w:val="3B355677"/>
    <w:rsid w:val="3BC35686"/>
    <w:rsid w:val="3BE17C85"/>
    <w:rsid w:val="3BF770DE"/>
    <w:rsid w:val="3C6A7094"/>
    <w:rsid w:val="3C765737"/>
    <w:rsid w:val="3CEC2F8C"/>
    <w:rsid w:val="3D4E1252"/>
    <w:rsid w:val="3D51281E"/>
    <w:rsid w:val="3DD05C41"/>
    <w:rsid w:val="3DF3470F"/>
    <w:rsid w:val="3E3543B4"/>
    <w:rsid w:val="3E716EA7"/>
    <w:rsid w:val="3EB73613"/>
    <w:rsid w:val="3EE71A7A"/>
    <w:rsid w:val="400224F5"/>
    <w:rsid w:val="407F42FB"/>
    <w:rsid w:val="40E46266"/>
    <w:rsid w:val="41161F49"/>
    <w:rsid w:val="421F3E29"/>
    <w:rsid w:val="428A152D"/>
    <w:rsid w:val="42EB58EB"/>
    <w:rsid w:val="43274063"/>
    <w:rsid w:val="43785E8F"/>
    <w:rsid w:val="43D37F12"/>
    <w:rsid w:val="44F63B19"/>
    <w:rsid w:val="450D34CE"/>
    <w:rsid w:val="4560560D"/>
    <w:rsid w:val="4565330A"/>
    <w:rsid w:val="458E3310"/>
    <w:rsid w:val="45CF1297"/>
    <w:rsid w:val="45E701C3"/>
    <w:rsid w:val="464D0561"/>
    <w:rsid w:val="46A05497"/>
    <w:rsid w:val="46B91A9F"/>
    <w:rsid w:val="46D551A8"/>
    <w:rsid w:val="470B42B6"/>
    <w:rsid w:val="47475F10"/>
    <w:rsid w:val="47DF0AC4"/>
    <w:rsid w:val="482F5DE6"/>
    <w:rsid w:val="488B685F"/>
    <w:rsid w:val="49015642"/>
    <w:rsid w:val="493C321B"/>
    <w:rsid w:val="496056E1"/>
    <w:rsid w:val="49681805"/>
    <w:rsid w:val="49BD643C"/>
    <w:rsid w:val="4A1277A3"/>
    <w:rsid w:val="4A1E3EA4"/>
    <w:rsid w:val="4A2858A6"/>
    <w:rsid w:val="4A2F2B4E"/>
    <w:rsid w:val="4A3E2B13"/>
    <w:rsid w:val="4A895701"/>
    <w:rsid w:val="4B4336F8"/>
    <w:rsid w:val="4B5A6C15"/>
    <w:rsid w:val="4B843D76"/>
    <w:rsid w:val="4B983086"/>
    <w:rsid w:val="4BAF492B"/>
    <w:rsid w:val="4BD36DF3"/>
    <w:rsid w:val="4BDA2229"/>
    <w:rsid w:val="4C5C4210"/>
    <w:rsid w:val="4C5E3A4D"/>
    <w:rsid w:val="4C6419C2"/>
    <w:rsid w:val="4C99676A"/>
    <w:rsid w:val="4D68085D"/>
    <w:rsid w:val="4D812E59"/>
    <w:rsid w:val="4E061402"/>
    <w:rsid w:val="4E3C4E24"/>
    <w:rsid w:val="4F564B0B"/>
    <w:rsid w:val="4F5A1612"/>
    <w:rsid w:val="4FF754A7"/>
    <w:rsid w:val="501222E0"/>
    <w:rsid w:val="50305A9E"/>
    <w:rsid w:val="514F7612"/>
    <w:rsid w:val="515E7E68"/>
    <w:rsid w:val="51621888"/>
    <w:rsid w:val="518F6428"/>
    <w:rsid w:val="51F07ABA"/>
    <w:rsid w:val="520613A4"/>
    <w:rsid w:val="52D23FA9"/>
    <w:rsid w:val="5367578A"/>
    <w:rsid w:val="5373076F"/>
    <w:rsid w:val="53C11D5F"/>
    <w:rsid w:val="53E85C49"/>
    <w:rsid w:val="54B13EDD"/>
    <w:rsid w:val="54D1675D"/>
    <w:rsid w:val="54D707D8"/>
    <w:rsid w:val="55117769"/>
    <w:rsid w:val="55254864"/>
    <w:rsid w:val="557840BC"/>
    <w:rsid w:val="55B431C8"/>
    <w:rsid w:val="55D3216E"/>
    <w:rsid w:val="57F41620"/>
    <w:rsid w:val="589955AA"/>
    <w:rsid w:val="589C201E"/>
    <w:rsid w:val="58D76128"/>
    <w:rsid w:val="58DA1C79"/>
    <w:rsid w:val="591A03A3"/>
    <w:rsid w:val="598C4866"/>
    <w:rsid w:val="59AC7302"/>
    <w:rsid w:val="59BC4F62"/>
    <w:rsid w:val="5AE51C8D"/>
    <w:rsid w:val="5AFB099F"/>
    <w:rsid w:val="5BA019DA"/>
    <w:rsid w:val="5BF60644"/>
    <w:rsid w:val="5C531CB7"/>
    <w:rsid w:val="5D03049B"/>
    <w:rsid w:val="5D253F65"/>
    <w:rsid w:val="5D5D2F17"/>
    <w:rsid w:val="5E4D2742"/>
    <w:rsid w:val="5E966EBF"/>
    <w:rsid w:val="5F7E306F"/>
    <w:rsid w:val="605F3245"/>
    <w:rsid w:val="608E1C68"/>
    <w:rsid w:val="60DA18D6"/>
    <w:rsid w:val="61377F7B"/>
    <w:rsid w:val="61EF551B"/>
    <w:rsid w:val="626856A2"/>
    <w:rsid w:val="62BD5B6A"/>
    <w:rsid w:val="62E801E5"/>
    <w:rsid w:val="632D0E3E"/>
    <w:rsid w:val="637E28A1"/>
    <w:rsid w:val="63864CA5"/>
    <w:rsid w:val="647C1FC7"/>
    <w:rsid w:val="649A579E"/>
    <w:rsid w:val="650673B9"/>
    <w:rsid w:val="654B6EB7"/>
    <w:rsid w:val="655A5C94"/>
    <w:rsid w:val="65B433A9"/>
    <w:rsid w:val="65B53E1D"/>
    <w:rsid w:val="65C2425A"/>
    <w:rsid w:val="65EB7BD0"/>
    <w:rsid w:val="66DA51D3"/>
    <w:rsid w:val="66FA7423"/>
    <w:rsid w:val="67193FCD"/>
    <w:rsid w:val="678D6D30"/>
    <w:rsid w:val="680C598D"/>
    <w:rsid w:val="68100EC9"/>
    <w:rsid w:val="68A86FA1"/>
    <w:rsid w:val="68C92208"/>
    <w:rsid w:val="68EE316D"/>
    <w:rsid w:val="6AAD2EDA"/>
    <w:rsid w:val="6AD312D0"/>
    <w:rsid w:val="6AD83814"/>
    <w:rsid w:val="6B162AC3"/>
    <w:rsid w:val="6BDB5825"/>
    <w:rsid w:val="6C611362"/>
    <w:rsid w:val="6C972EB9"/>
    <w:rsid w:val="6CD16313"/>
    <w:rsid w:val="6CD47C93"/>
    <w:rsid w:val="6CE64A28"/>
    <w:rsid w:val="6CFF5633"/>
    <w:rsid w:val="6D396691"/>
    <w:rsid w:val="6D87457E"/>
    <w:rsid w:val="6D875097"/>
    <w:rsid w:val="6D8C1AA4"/>
    <w:rsid w:val="6D9936F5"/>
    <w:rsid w:val="6DE45854"/>
    <w:rsid w:val="6DE50BDD"/>
    <w:rsid w:val="6DE94229"/>
    <w:rsid w:val="6E4F215E"/>
    <w:rsid w:val="6E5242B7"/>
    <w:rsid w:val="6EB83334"/>
    <w:rsid w:val="6F8D0C27"/>
    <w:rsid w:val="6FA73E7D"/>
    <w:rsid w:val="6FAF279B"/>
    <w:rsid w:val="6FE010DE"/>
    <w:rsid w:val="6FF13F65"/>
    <w:rsid w:val="701E1F23"/>
    <w:rsid w:val="70BF50BA"/>
    <w:rsid w:val="70C90D95"/>
    <w:rsid w:val="70E65C10"/>
    <w:rsid w:val="71006807"/>
    <w:rsid w:val="715145CA"/>
    <w:rsid w:val="721A015C"/>
    <w:rsid w:val="72484AC5"/>
    <w:rsid w:val="72734A09"/>
    <w:rsid w:val="731A00CF"/>
    <w:rsid w:val="739AB26A"/>
    <w:rsid w:val="73B13E3D"/>
    <w:rsid w:val="74485A21"/>
    <w:rsid w:val="74FA4F6E"/>
    <w:rsid w:val="75053B88"/>
    <w:rsid w:val="75136269"/>
    <w:rsid w:val="7561323F"/>
    <w:rsid w:val="75E97C37"/>
    <w:rsid w:val="763848CB"/>
    <w:rsid w:val="76581B90"/>
    <w:rsid w:val="765D7381"/>
    <w:rsid w:val="7671477E"/>
    <w:rsid w:val="787A1C6A"/>
    <w:rsid w:val="788662C4"/>
    <w:rsid w:val="78F63C9E"/>
    <w:rsid w:val="78FA0EF3"/>
    <w:rsid w:val="79302EA3"/>
    <w:rsid w:val="79B002F1"/>
    <w:rsid w:val="7A115F78"/>
    <w:rsid w:val="7A2263DE"/>
    <w:rsid w:val="7AF23EA4"/>
    <w:rsid w:val="7B50790D"/>
    <w:rsid w:val="7BFC4893"/>
    <w:rsid w:val="7C0638A0"/>
    <w:rsid w:val="7C116D8D"/>
    <w:rsid w:val="7C145E33"/>
    <w:rsid w:val="7CFB4337"/>
    <w:rsid w:val="7DED3515"/>
    <w:rsid w:val="7E4B0749"/>
    <w:rsid w:val="7E8954D4"/>
    <w:rsid w:val="7EF36C27"/>
    <w:rsid w:val="7F33521A"/>
    <w:rsid w:val="7FAC08DE"/>
    <w:rsid w:val="EDEBF22A"/>
    <w:rsid w:val="F7B9E3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spacing w:beforeAutospacing="1" w:afterAutospacing="1"/>
      <w:jc w:val="left"/>
      <w:outlineLvl w:val="0"/>
    </w:pPr>
    <w:rPr>
      <w:rFonts w:hint="eastAsia" w:ascii="宋体" w:hAnsi="宋体"/>
      <w:b/>
      <w:bCs/>
      <w:kern w:val="44"/>
      <w:sz w:val="48"/>
      <w:szCs w:val="48"/>
    </w:rPr>
  </w:style>
  <w:style w:type="character" w:default="1" w:styleId="10">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after="120"/>
      <w:ind w:left="420" w:leftChars="200"/>
    </w:pPr>
  </w:style>
  <w:style w:type="paragraph" w:styleId="5">
    <w:name w:val="Normal Indent"/>
    <w:basedOn w:val="1"/>
    <w:next w:val="1"/>
    <w:qFormat/>
    <w:uiPriority w:val="0"/>
    <w:pPr>
      <w:ind w:firstLine="420" w:firstLineChars="200"/>
    </w:pPr>
    <w:rPr>
      <w:rFonts w:ascii="Times New Roman" w:hAnsi="Times New Roman"/>
    </w:rPr>
  </w:style>
  <w:style w:type="paragraph" w:styleId="6">
    <w:name w:val="Body Text"/>
    <w:basedOn w:val="1"/>
    <w:qFormat/>
    <w:uiPriority w:val="0"/>
    <w:pPr>
      <w:spacing w:line="360" w:lineRule="auto"/>
      <w:jc w:val="center"/>
    </w:pPr>
    <w:rPr>
      <w:sz w:val="44"/>
    </w:rPr>
  </w:style>
  <w:style w:type="paragraph" w:styleId="7">
    <w:name w:val="Balloon Text"/>
    <w:basedOn w:val="1"/>
    <w:next w:val="1"/>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character" w:customStyle="1" w:styleId="12">
    <w:name w:val="页眉 字符"/>
    <w:basedOn w:val="10"/>
    <w:link w:val="9"/>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3521</Words>
  <Characters>3862</Characters>
  <Lines>57</Lines>
  <Paragraphs>16</Paragraphs>
  <TotalTime>45</TotalTime>
  <ScaleCrop>false</ScaleCrop>
  <LinksUpToDate>false</LinksUpToDate>
  <CharactersWithSpaces>3882</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2022-11-01T16:09:00Z</dcterms:created>
  <dc:creator>周长村</dc:creator>
  <cp:lastModifiedBy>NTKO</cp:lastModifiedBy>
  <cp:lastPrinted>2023-11-23T01:41:00Z</cp:lastPrinted>
  <dcterms:modified xsi:type="dcterms:W3CDTF">2023-11-23T02:12:21Z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y fmtid="{D5CDD505-2E9C-101B-9397-08002B2CF9AE}" pid="3" name="ICV">
    <vt:lpwstr>405D9E31B8E94C6EB53CEAD8B62183D0</vt:lpwstr>
  </property>
</Properties>
</file>