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left"/>
        <w:rPr>
          <w:rFonts w:ascii="黑体" w:hAnsi="黑体" w:eastAsia="黑体"/>
          <w:sz w:val="32"/>
          <w:szCs w:val="32"/>
        </w:rPr>
      </w:pPr>
      <w:r>
        <w:rPr>
          <w:rFonts w:hint="eastAsia" w:ascii="黑体" w:hAnsi="黑体" w:eastAsia="黑体"/>
          <w:sz w:val="32"/>
          <w:szCs w:val="32"/>
        </w:rPr>
        <w:t>附件：</w:t>
      </w:r>
    </w:p>
    <w:p>
      <w:pPr>
        <w:spacing w:line="640" w:lineRule="exact"/>
        <w:jc w:val="center"/>
        <w:rPr>
          <w:rFonts w:hint="eastAsia" w:ascii="方正小标宋简体" w:eastAsia="方正小标宋简体"/>
          <w:color w:val="auto"/>
          <w:sz w:val="36"/>
          <w:szCs w:val="36"/>
        </w:rPr>
      </w:pPr>
      <w:r>
        <w:rPr>
          <w:rFonts w:hint="eastAsia" w:ascii="方正小标宋简体" w:eastAsia="方正小标宋简体"/>
          <w:color w:val="auto"/>
          <w:sz w:val="36"/>
          <w:szCs w:val="36"/>
        </w:rPr>
        <w:t>福州绕城公路东南段浦口枢纽互通至青口枢纽互通</w:t>
      </w:r>
    </w:p>
    <w:p>
      <w:pPr>
        <w:spacing w:line="640" w:lineRule="exact"/>
        <w:jc w:val="center"/>
        <w:rPr>
          <w:rFonts w:hint="eastAsia" w:ascii="方正小标宋简体" w:eastAsia="方正小标宋简体" w:hAnsiTheme="majorEastAsia"/>
          <w:sz w:val="36"/>
          <w:szCs w:val="36"/>
        </w:rPr>
      </w:pPr>
      <w:r>
        <w:rPr>
          <w:rFonts w:hint="eastAsia" w:ascii="方正小标宋简体" w:eastAsia="方正小标宋简体"/>
          <w:color w:val="auto"/>
          <w:sz w:val="36"/>
          <w:szCs w:val="36"/>
          <w:lang w:eastAsia="zh-CN"/>
        </w:rPr>
        <w:t>工程</w:t>
      </w:r>
      <w:r>
        <w:rPr>
          <w:rFonts w:hint="eastAsia" w:ascii="方正小标宋简体" w:eastAsia="方正小标宋简体" w:hAnsiTheme="majorEastAsia"/>
          <w:sz w:val="36"/>
          <w:szCs w:val="36"/>
        </w:rPr>
        <w:t>交工质量核验意见</w:t>
      </w:r>
    </w:p>
    <w:p>
      <w:pPr>
        <w:spacing w:line="640" w:lineRule="exact"/>
        <w:jc w:val="center"/>
        <w:rPr>
          <w:b/>
          <w:bCs/>
        </w:rPr>
      </w:pPr>
    </w:p>
    <w:p>
      <w:pPr>
        <w:spacing w:line="640" w:lineRule="exact"/>
        <w:ind w:firstLine="624"/>
        <w:rPr>
          <w:rFonts w:ascii="黑体" w:hAnsi="宋体" w:eastAsia="黑体"/>
          <w:sz w:val="32"/>
          <w:szCs w:val="32"/>
        </w:rPr>
      </w:pPr>
      <w:r>
        <w:rPr>
          <w:rFonts w:hint="eastAsia" w:ascii="黑体" w:hAnsi="宋体" w:eastAsia="黑体"/>
          <w:sz w:val="32"/>
          <w:szCs w:val="32"/>
        </w:rPr>
        <w:t>一、工程概况</w:t>
      </w:r>
    </w:p>
    <w:p>
      <w:pPr>
        <w:spacing w:line="640" w:lineRule="exact"/>
        <w:ind w:firstLine="626"/>
        <w:rPr>
          <w:rFonts w:hint="eastAsia" w:ascii="仿宋_GB2312" w:eastAsia="仿宋_GB2312" w:cs="Times New Roman" w:hAnsiTheme="minorEastAsia"/>
          <w:sz w:val="32"/>
          <w:szCs w:val="32"/>
          <w:highlight w:val="none"/>
          <w:lang w:val="en-US" w:eastAsia="zh-CN"/>
        </w:rPr>
      </w:pPr>
      <w:r>
        <w:rPr>
          <w:rFonts w:hint="eastAsia" w:ascii="仿宋_GB2312" w:eastAsia="仿宋_GB2312" w:cs="Times New Roman" w:hAnsiTheme="minorEastAsia"/>
          <w:sz w:val="32"/>
          <w:szCs w:val="32"/>
          <w:highlight w:val="none"/>
          <w:lang w:val="en-US" w:eastAsia="zh-CN"/>
        </w:rPr>
        <w:t>福州绕城公路东南段主线路线起点位于连江洋门,接已建成通车的福州绕城公路西北段和沈海高速公路罗源至长乐段,经浦口,在长门、琅岐分别跨越闽江长门水道、梅花水道,经长乐市潭头、岱西、鹤上、罗联、玉田、闽侯县清秀,终于闽侯县青口镇青口村,改建青口枢纽互通与福银高速、沈海高速相接。路线全长75.21公里。</w:t>
      </w:r>
    </w:p>
    <w:p>
      <w:pPr>
        <w:spacing w:line="640" w:lineRule="exact"/>
        <w:ind w:firstLine="626"/>
        <w:rPr>
          <w:rFonts w:hint="eastAsia" w:ascii="仿宋_GB2312" w:eastAsia="仿宋_GB2312" w:cs="Times New Roman" w:hAnsiTheme="minorEastAsia"/>
          <w:sz w:val="32"/>
          <w:szCs w:val="32"/>
          <w:highlight w:val="none"/>
          <w:lang w:val="en-US" w:eastAsia="zh-CN"/>
        </w:rPr>
      </w:pPr>
      <w:r>
        <w:rPr>
          <w:rFonts w:hint="eastAsia" w:ascii="仿宋_GB2312" w:eastAsia="仿宋_GB2312" w:cs="Times New Roman" w:hAnsiTheme="minorEastAsia"/>
          <w:sz w:val="32"/>
          <w:szCs w:val="32"/>
          <w:highlight w:val="none"/>
          <w:lang w:val="en-US" w:eastAsia="zh-CN"/>
        </w:rPr>
        <w:t>主线共设洋门（枢纽、二期工程）、浦口（复合式）、</w:t>
      </w:r>
      <w:r>
        <w:rPr>
          <w:rFonts w:hint="eastAsia" w:ascii="仿宋_GB2312" w:hAnsi="仿宋_GB2312" w:eastAsia="仿宋_GB2312" w:cs="仿宋_GB2312"/>
          <w:color w:val="000000"/>
          <w:sz w:val="32"/>
          <w:szCs w:val="32"/>
        </w:rPr>
        <w:t>琯安</w:t>
      </w:r>
      <w:r>
        <w:rPr>
          <w:rFonts w:hint="eastAsia" w:ascii="仿宋_GB2312" w:eastAsia="仿宋_GB2312" w:cs="Times New Roman" w:hAnsiTheme="minorEastAsia"/>
          <w:sz w:val="32"/>
          <w:szCs w:val="32"/>
          <w:highlight w:val="none"/>
          <w:lang w:val="en-US" w:eastAsia="zh-CN"/>
        </w:rPr>
        <w:t>、琅岐、潭头、江朱（枢纽）、鹤上、前塘（枢纽）、玉田、青口（枢纽）等10处互通立交。</w:t>
      </w:r>
    </w:p>
    <w:p>
      <w:pPr>
        <w:spacing w:line="640" w:lineRule="exact"/>
        <w:ind w:firstLine="626"/>
        <w:rPr>
          <w:rFonts w:hint="eastAsia" w:ascii="仿宋_GB2312" w:eastAsia="仿宋_GB2312" w:cs="Times New Roman" w:hAnsiTheme="minorEastAsia"/>
          <w:sz w:val="32"/>
          <w:szCs w:val="32"/>
          <w:highlight w:val="none"/>
          <w:lang w:val="en-US" w:eastAsia="zh-CN"/>
        </w:rPr>
      </w:pPr>
      <w:r>
        <w:rPr>
          <w:rFonts w:hint="eastAsia" w:ascii="仿宋_GB2312" w:eastAsia="仿宋_GB2312" w:cs="Times New Roman" w:hAnsiTheme="minorEastAsia"/>
          <w:sz w:val="32"/>
          <w:szCs w:val="32"/>
          <w:highlight w:val="none"/>
          <w:lang w:val="en-US" w:eastAsia="zh-CN"/>
        </w:rPr>
        <w:t>可门疏港连接线起自主线浦口复合互通立交,经梅里、 官坂,止于红厦,全长14.55公里。可门疏港连接线在梅里设枢纽互通1处。</w:t>
      </w:r>
    </w:p>
    <w:p>
      <w:pPr>
        <w:spacing w:line="640" w:lineRule="exact"/>
        <w:ind w:firstLine="626"/>
        <w:rPr>
          <w:rFonts w:hint="eastAsia" w:ascii="仿宋_GB2312" w:eastAsia="仿宋_GB2312" w:cs="Times New Roman" w:hAnsiTheme="minorEastAsia"/>
          <w:sz w:val="32"/>
          <w:szCs w:val="32"/>
          <w:highlight w:val="none"/>
          <w:lang w:val="en-US" w:eastAsia="zh-CN"/>
        </w:rPr>
      </w:pPr>
      <w:r>
        <w:rPr>
          <w:rFonts w:hint="eastAsia" w:ascii="仿宋_GB2312" w:eastAsia="仿宋_GB2312" w:cs="Times New Roman" w:hAnsiTheme="minorEastAsia"/>
          <w:sz w:val="32"/>
          <w:szCs w:val="32"/>
          <w:highlight w:val="none"/>
          <w:lang w:val="en-US" w:eastAsia="zh-CN"/>
        </w:rPr>
        <w:t>主线全线采用高速公路标准建设，双向六车道,设计速度 100公里/小时,路基宽度33.5米。起点至梅里枢纽互通立交段采用双向六车道,路基宽度33.5米,梅里枢纽互通立交至终点段采用双向四车道,路基宽度26米。桥涵设计汽车荷载采用公路-Ⅰ级。设计洪水频率:特大桥1/300 ,路基及大(中、 小)桥1/100。其余技术指标按部颁《公路工程技术标准》(JTGB01-2003)的规定执行。</w:t>
      </w:r>
    </w:p>
    <w:p>
      <w:pPr>
        <w:spacing w:line="640" w:lineRule="exact"/>
        <w:ind w:firstLine="626"/>
        <w:rPr>
          <w:rFonts w:hint="eastAsia" w:ascii="仿宋_GB2312" w:eastAsia="仿宋_GB2312" w:cs="Times New Roman" w:hAnsiTheme="minorEastAsia"/>
          <w:sz w:val="32"/>
          <w:szCs w:val="32"/>
          <w:highlight w:val="none"/>
          <w:lang w:val="en-US" w:eastAsia="zh-CN"/>
        </w:rPr>
      </w:pPr>
      <w:r>
        <w:rPr>
          <w:rFonts w:hint="eastAsia" w:ascii="仿宋_GB2312" w:eastAsia="仿宋_GB2312" w:cs="Times New Roman" w:hAnsiTheme="minorEastAsia"/>
          <w:sz w:val="32"/>
          <w:szCs w:val="32"/>
          <w:highlight w:val="none"/>
          <w:lang w:val="en-US" w:eastAsia="zh-CN"/>
        </w:rPr>
        <w:t>其中，洋门互通至梅里互通工程项目（主线K0+000-K10+837，可门疏港连接线LK2+068-LK11+000）已于2015年12月建成试通车。</w:t>
      </w:r>
    </w:p>
    <w:p>
      <w:pPr>
        <w:spacing w:line="640" w:lineRule="exact"/>
        <w:ind w:firstLine="626"/>
        <w:rPr>
          <w:rFonts w:hint="eastAsia" w:ascii="仿宋_GB2312" w:eastAsia="仿宋_GB2312" w:cs="Times New Roman" w:hAnsiTheme="minorEastAsia"/>
          <w:sz w:val="32"/>
          <w:szCs w:val="32"/>
          <w:highlight w:val="none"/>
          <w:lang w:val="en-US" w:eastAsia="zh-CN"/>
        </w:rPr>
      </w:pPr>
      <w:r>
        <w:rPr>
          <w:rFonts w:hint="eastAsia" w:ascii="仿宋_GB2312" w:eastAsia="仿宋_GB2312" w:cs="Times New Roman" w:hAnsiTheme="minorEastAsia"/>
          <w:sz w:val="32"/>
          <w:szCs w:val="32"/>
          <w:highlight w:val="none"/>
          <w:lang w:val="en-US" w:eastAsia="zh-CN"/>
        </w:rPr>
        <w:t>本次拟交工段落为福州绕城公路东南段浦口枢纽互通至青口枢纽互通（K10+837～K74+090）段及A2合同段浦口互通主线桥1座1587米，A匝道桥778.5米，B匝道桥379.8米，A匝道路基178米，B匝道路基351米。</w:t>
      </w:r>
      <w:r>
        <w:rPr>
          <w:rFonts w:hint="eastAsia" w:ascii="仿宋_GB2312" w:hAnsi="仿宋_GB2312" w:eastAsia="仿宋_GB2312" w:cs="仿宋_GB2312"/>
          <w:color w:val="000000"/>
          <w:sz w:val="32"/>
          <w:szCs w:val="32"/>
          <w:lang w:eastAsia="zh-CN"/>
        </w:rPr>
        <w:t>含</w:t>
      </w:r>
      <w:r>
        <w:rPr>
          <w:rFonts w:hint="eastAsia" w:ascii="仿宋_GB2312" w:hAnsi="仿宋_GB2312" w:eastAsia="仿宋_GB2312" w:cs="仿宋_GB2312"/>
          <w:color w:val="000000"/>
          <w:sz w:val="32"/>
          <w:szCs w:val="32"/>
        </w:rPr>
        <w:t>浦口</w:t>
      </w:r>
      <w:r>
        <w:rPr>
          <w:rFonts w:hint="eastAsia" w:ascii="仿宋_GB2312" w:hAnsi="仿宋_GB2312" w:eastAsia="仿宋_GB2312" w:cs="仿宋_GB2312"/>
          <w:color w:val="000000"/>
          <w:sz w:val="32"/>
          <w:szCs w:val="32"/>
          <w:lang w:eastAsia="zh-CN"/>
        </w:rPr>
        <w:t>（枢纽）</w:t>
      </w:r>
      <w:r>
        <w:rPr>
          <w:rFonts w:hint="eastAsia" w:ascii="仿宋_GB2312" w:hAnsi="仿宋_GB2312" w:eastAsia="仿宋_GB2312" w:cs="仿宋_GB2312"/>
          <w:color w:val="000000"/>
          <w:sz w:val="32"/>
          <w:szCs w:val="32"/>
        </w:rPr>
        <w:t>、琯安、琅岐、潭头、江朱</w:t>
      </w:r>
      <w:r>
        <w:rPr>
          <w:rFonts w:hint="eastAsia" w:ascii="仿宋_GB2312" w:hAnsi="仿宋_GB2312" w:eastAsia="仿宋_GB2312" w:cs="仿宋_GB2312"/>
          <w:color w:val="000000"/>
          <w:sz w:val="32"/>
          <w:szCs w:val="32"/>
          <w:lang w:eastAsia="zh-CN"/>
        </w:rPr>
        <w:t>（枢纽）</w:t>
      </w:r>
      <w:r>
        <w:rPr>
          <w:rFonts w:hint="eastAsia" w:ascii="仿宋_GB2312" w:hAnsi="仿宋_GB2312" w:eastAsia="仿宋_GB2312" w:cs="仿宋_GB2312"/>
          <w:color w:val="000000"/>
          <w:sz w:val="32"/>
          <w:szCs w:val="32"/>
        </w:rPr>
        <w:t>、鹤上、前塘</w:t>
      </w:r>
      <w:r>
        <w:rPr>
          <w:rFonts w:hint="eastAsia" w:ascii="仿宋_GB2312" w:hAnsi="仿宋_GB2312" w:eastAsia="仿宋_GB2312" w:cs="仿宋_GB2312"/>
          <w:color w:val="000000"/>
          <w:sz w:val="32"/>
          <w:szCs w:val="32"/>
          <w:lang w:eastAsia="zh-CN"/>
        </w:rPr>
        <w:t>（枢纽</w:t>
      </w:r>
      <w:r>
        <w:rPr>
          <w:rFonts w:hint="eastAsia" w:ascii="仿宋_GB2312" w:hAnsi="仿宋_GB2312" w:eastAsia="仿宋_GB2312" w:cs="仿宋_GB2312"/>
          <w:color w:val="000000"/>
          <w:sz w:val="32"/>
          <w:szCs w:val="32"/>
          <w:lang w:val="en-US" w:eastAsia="zh-CN"/>
        </w:rPr>
        <w:t>)</w:t>
      </w:r>
      <w:r>
        <w:rPr>
          <w:rFonts w:hint="eastAsia" w:ascii="仿宋_GB2312" w:hAnsi="仿宋_GB2312" w:eastAsia="仿宋_GB2312" w:cs="仿宋_GB2312"/>
          <w:color w:val="000000"/>
          <w:sz w:val="32"/>
          <w:szCs w:val="32"/>
        </w:rPr>
        <w:t>、玉田、青口</w:t>
      </w:r>
      <w:r>
        <w:rPr>
          <w:rFonts w:hint="eastAsia" w:ascii="仿宋_GB2312" w:hAnsi="仿宋_GB2312" w:eastAsia="仿宋_GB2312" w:cs="仿宋_GB2312"/>
          <w:color w:val="000000"/>
          <w:sz w:val="32"/>
          <w:szCs w:val="32"/>
          <w:lang w:val="en-US" w:eastAsia="zh-CN"/>
        </w:rPr>
        <w:t>(枢纽）9</w:t>
      </w:r>
      <w:r>
        <w:rPr>
          <w:rFonts w:hint="eastAsia" w:ascii="仿宋_GB2312" w:hAnsi="仿宋_GB2312" w:eastAsia="仿宋_GB2312" w:cs="仿宋_GB2312"/>
          <w:color w:val="000000"/>
          <w:sz w:val="32"/>
          <w:szCs w:val="32"/>
        </w:rPr>
        <w:t>处互通式立交,琯头东、琅岐、潭头、鹤上、玉田5处收费站及</w:t>
      </w:r>
      <w:r>
        <w:rPr>
          <w:rFonts w:hint="eastAsia" w:ascii="仿宋_GB2312" w:hAnsi="仿宋_GB2312" w:eastAsia="仿宋_GB2312" w:cs="仿宋_GB2312"/>
          <w:color w:val="000000"/>
          <w:sz w:val="32"/>
          <w:szCs w:val="32"/>
          <w:lang w:val="en-US" w:eastAsia="zh-CN"/>
        </w:rPr>
        <w:t>1处</w:t>
      </w:r>
      <w:r>
        <w:rPr>
          <w:rFonts w:hint="eastAsia" w:ascii="仿宋_GB2312" w:hAnsi="仿宋_GB2312" w:eastAsia="仿宋_GB2312" w:cs="仿宋_GB2312"/>
          <w:color w:val="000000"/>
          <w:sz w:val="32"/>
          <w:szCs w:val="32"/>
        </w:rPr>
        <w:t>长乐服务区</w:t>
      </w:r>
      <w:r>
        <w:rPr>
          <w:rFonts w:hint="eastAsia" w:ascii="仿宋_GB2312" w:hAnsi="仿宋_GB2312" w:eastAsia="仿宋_GB2312" w:cs="仿宋_GB2312"/>
          <w:color w:val="000000"/>
          <w:sz w:val="32"/>
          <w:szCs w:val="32"/>
          <w:lang w:eastAsia="zh-CN"/>
        </w:rPr>
        <w:t>。</w:t>
      </w:r>
      <w:r>
        <w:rPr>
          <w:rFonts w:hint="eastAsia" w:ascii="仿宋_GB2312" w:eastAsia="仿宋_GB2312" w:cs="Times New Roman" w:hAnsiTheme="minorEastAsia"/>
          <w:sz w:val="32"/>
          <w:szCs w:val="32"/>
          <w:highlight w:val="none"/>
          <w:lang w:val="en-US" w:eastAsia="zh-CN"/>
        </w:rPr>
        <w:t>概算总投资105.1亿元。</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en-US" w:eastAsia="zh-CN"/>
        </w:rPr>
        <w:t>本次拟交工段落</w:t>
      </w:r>
      <w:r>
        <w:rPr>
          <w:rFonts w:hint="eastAsia" w:ascii="仿宋_GB2312" w:hAnsi="宋体" w:eastAsia="仿宋_GB2312"/>
          <w:color w:val="000000"/>
          <w:sz w:val="32"/>
          <w:szCs w:val="32"/>
          <w:lang w:val="zh-CN"/>
        </w:rPr>
        <w:t>于201</w:t>
      </w:r>
      <w:r>
        <w:rPr>
          <w:rFonts w:hint="eastAsia" w:ascii="仿宋_GB2312" w:hAnsi="宋体" w:eastAsia="仿宋_GB2312"/>
          <w:color w:val="000000"/>
          <w:sz w:val="32"/>
          <w:szCs w:val="32"/>
          <w:lang w:val="en-US" w:eastAsia="zh-CN"/>
        </w:rPr>
        <w:t>6</w:t>
      </w:r>
      <w:r>
        <w:rPr>
          <w:rFonts w:hint="eastAsia" w:ascii="仿宋_GB2312" w:hAnsi="宋体" w:eastAsia="仿宋_GB2312"/>
          <w:color w:val="000000"/>
          <w:sz w:val="32"/>
          <w:szCs w:val="32"/>
          <w:lang w:val="zh-CN"/>
        </w:rPr>
        <w:t>年</w:t>
      </w:r>
      <w:r>
        <w:rPr>
          <w:rFonts w:hint="eastAsia" w:ascii="仿宋_GB2312" w:hAnsi="宋体" w:eastAsia="仿宋_GB2312"/>
          <w:color w:val="000000"/>
          <w:sz w:val="32"/>
          <w:szCs w:val="32"/>
          <w:lang w:val="en-US" w:eastAsia="zh-CN"/>
        </w:rPr>
        <w:t>1</w:t>
      </w:r>
      <w:r>
        <w:rPr>
          <w:rFonts w:hint="eastAsia" w:ascii="仿宋_GB2312" w:hAnsi="宋体" w:eastAsia="仿宋_GB2312"/>
          <w:color w:val="000000"/>
          <w:sz w:val="32"/>
          <w:szCs w:val="32"/>
          <w:lang w:val="zh-CN"/>
        </w:rPr>
        <w:t>月正式开工，201</w:t>
      </w:r>
      <w:r>
        <w:rPr>
          <w:rFonts w:hint="eastAsia" w:ascii="仿宋_GB2312" w:hAnsi="宋体" w:eastAsia="仿宋_GB2312"/>
          <w:color w:val="000000"/>
          <w:sz w:val="32"/>
          <w:szCs w:val="32"/>
        </w:rPr>
        <w:t>9</w:t>
      </w:r>
      <w:r>
        <w:rPr>
          <w:rFonts w:hint="eastAsia" w:ascii="仿宋_GB2312" w:hAnsi="宋体" w:eastAsia="仿宋_GB2312"/>
          <w:color w:val="000000"/>
          <w:sz w:val="32"/>
          <w:szCs w:val="32"/>
          <w:lang w:val="zh-CN"/>
        </w:rPr>
        <w:t>年</w:t>
      </w:r>
      <w:r>
        <w:rPr>
          <w:rFonts w:hint="eastAsia" w:ascii="仿宋_GB2312" w:hAnsi="宋体" w:eastAsia="仿宋_GB2312"/>
          <w:color w:val="000000"/>
          <w:sz w:val="32"/>
          <w:szCs w:val="32"/>
          <w:lang w:val="en-US" w:eastAsia="zh-CN"/>
        </w:rPr>
        <w:t>9</w:t>
      </w:r>
      <w:r>
        <w:rPr>
          <w:rFonts w:hint="eastAsia" w:ascii="仿宋_GB2312" w:hAnsi="宋体" w:eastAsia="仿宋_GB2312"/>
          <w:color w:val="000000"/>
          <w:sz w:val="32"/>
          <w:szCs w:val="32"/>
          <w:lang w:val="zh-CN"/>
        </w:rPr>
        <w:t>月基本完工（其中</w:t>
      </w:r>
      <w:r>
        <w:rPr>
          <w:rFonts w:hint="eastAsia" w:ascii="仿宋_GB2312" w:hAnsi="宋体" w:eastAsia="仿宋_GB2312"/>
          <w:color w:val="000000"/>
          <w:sz w:val="32"/>
          <w:szCs w:val="32"/>
          <w:lang w:val="en-US" w:eastAsia="zh-CN"/>
        </w:rPr>
        <w:t>A2合同段于2014年1月开工，2016年6月完工）</w:t>
      </w:r>
      <w:r>
        <w:rPr>
          <w:rFonts w:hint="eastAsia" w:ascii="仿宋_GB2312" w:eastAsia="仿宋_GB2312" w:cs="Times New Roman" w:hAnsiTheme="minorEastAsia"/>
          <w:sz w:val="32"/>
          <w:szCs w:val="32"/>
          <w:highlight w:val="none"/>
          <w:lang w:val="zh-CN" w:eastAsia="zh-CN"/>
        </w:rPr>
        <w:t>。</w:t>
      </w:r>
    </w:p>
    <w:p>
      <w:pPr>
        <w:spacing w:line="640" w:lineRule="exact"/>
        <w:ind w:firstLine="624"/>
        <w:rPr>
          <w:rFonts w:hint="eastAsia" w:ascii="黑体" w:hAnsi="宋体" w:eastAsia="黑体"/>
          <w:sz w:val="32"/>
          <w:szCs w:val="32"/>
        </w:rPr>
      </w:pPr>
      <w:r>
        <w:rPr>
          <w:rFonts w:hint="eastAsia" w:ascii="黑体" w:hAnsi="宋体" w:eastAsia="黑体"/>
          <w:sz w:val="32"/>
          <w:szCs w:val="32"/>
        </w:rPr>
        <w:t>二、核验依据</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（一）《公路工程竣(交)工验收办法》(部令2004年第3号)；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（二）《公路工程竣（交）工验收办法实施细则》(交公路发〔2010〕65号)；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（三）《公路工程质量检验评定标准》(JTG F80/1-2004)；</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（四）福建省交通运输厅《关于印发福建省公路工程竣（交）工验收质量检测办法的通知》（闽交建〔2016〕188号）；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（五）《公路水运工程质量监督管理规定》（部令2017年第28号）；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（六）福建省交通运输厅《关于印发福建省公路水运工程质量监督管理实施细则的通知》（闽交建〔2018〕105号）；</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（七）</w:t>
      </w:r>
      <w:r>
        <w:rPr>
          <w:rFonts w:hint="eastAsia" w:ascii="仿宋_GB2312" w:hAnsi="宋体" w:eastAsia="仿宋_GB2312" w:cs="Times New Roman"/>
          <w:sz w:val="32"/>
          <w:szCs w:val="32"/>
          <w:highlight w:val="none"/>
          <w:lang w:eastAsia="zh-CN"/>
        </w:rPr>
        <w:t>《福州东南绕城高速公路有限公司</w:t>
      </w:r>
      <w:r>
        <w:rPr>
          <w:rFonts w:hint="eastAsia" w:ascii="仿宋_GB2312" w:hAnsi="仿宋_GB2312" w:eastAsia="仿宋_GB2312" w:cs="仿宋_GB2312"/>
          <w:color w:val="000000"/>
          <w:sz w:val="32"/>
          <w:szCs w:val="32"/>
          <w:highlight w:val="none"/>
          <w:lang w:bidi="en-US"/>
        </w:rPr>
        <w:t>关于上报福州绕城公路东南段浦口枢纽互通至青口枢纽互通(K10+837.2～K68+820）路基土建工程交工验收前检测情况的报告</w:t>
      </w:r>
      <w:r>
        <w:rPr>
          <w:rFonts w:hint="eastAsia" w:ascii="仿宋_GB2312" w:hAnsi="仿宋_GB2312" w:eastAsia="仿宋_GB2312" w:cs="仿宋_GB2312"/>
          <w:color w:val="000000"/>
          <w:sz w:val="32"/>
          <w:szCs w:val="32"/>
          <w:highlight w:val="none"/>
          <w:lang w:eastAsia="zh-CN" w:bidi="en-US"/>
        </w:rPr>
        <w:t>》</w:t>
      </w:r>
      <w:r>
        <w:rPr>
          <w:rFonts w:hint="eastAsia" w:ascii="仿宋_GB2312" w:hAnsi="仿宋_GB2312" w:eastAsia="仿宋_GB2312" w:cs="仿宋_GB2312"/>
          <w:color w:val="000000"/>
          <w:sz w:val="32"/>
          <w:szCs w:val="32"/>
          <w:highlight w:val="none"/>
          <w:lang w:bidi="en-US"/>
        </w:rPr>
        <w:t>(榕东绕路工〔2019〕226号)</w:t>
      </w:r>
      <w:r>
        <w:rPr>
          <w:rFonts w:hint="eastAsia" w:ascii="仿宋_GB2312" w:eastAsia="仿宋_GB2312" w:cs="Times New Roman" w:hAnsiTheme="minorEastAsia"/>
          <w:sz w:val="32"/>
          <w:szCs w:val="32"/>
          <w:highlight w:val="none"/>
          <w:lang w:val="zh-CN" w:eastAsia="zh-CN"/>
        </w:rPr>
        <w:t>；</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（八）</w:t>
      </w:r>
      <w:r>
        <w:rPr>
          <w:rFonts w:hint="eastAsia" w:ascii="仿宋_GB2312" w:hAnsi="宋体" w:eastAsia="仿宋_GB2312" w:cs="Times New Roman"/>
          <w:sz w:val="32"/>
          <w:szCs w:val="32"/>
          <w:highlight w:val="none"/>
          <w:lang w:eastAsia="zh-CN"/>
        </w:rPr>
        <w:t>《福州东南绕城高速公路有限公司</w:t>
      </w:r>
      <w:r>
        <w:rPr>
          <w:rFonts w:hint="eastAsia" w:ascii="仿宋_GB2312" w:hAnsi="仿宋_GB2312" w:eastAsia="仿宋_GB2312" w:cs="仿宋_GB2312"/>
          <w:color w:val="000000"/>
          <w:sz w:val="32"/>
          <w:szCs w:val="32"/>
          <w:highlight w:val="none"/>
          <w:lang w:bidi="en-US"/>
        </w:rPr>
        <w:t>关于上报福州绕城公路东南段浦口枢纽互通至青口枢纽互通路基土建(K</w:t>
      </w:r>
      <w:r>
        <w:rPr>
          <w:rFonts w:hint="eastAsia" w:ascii="仿宋_GB2312" w:hAnsi="仿宋_GB2312" w:eastAsia="仿宋_GB2312" w:cs="仿宋_GB2312"/>
          <w:color w:val="000000"/>
          <w:sz w:val="32"/>
          <w:szCs w:val="32"/>
          <w:highlight w:val="none"/>
          <w:lang w:val="en-US" w:eastAsia="zh-CN" w:bidi="en-US"/>
        </w:rPr>
        <w:t>68+820</w:t>
      </w:r>
      <w:r>
        <w:rPr>
          <w:rFonts w:hint="eastAsia" w:ascii="仿宋_GB2312" w:hAnsi="仿宋_GB2312" w:eastAsia="仿宋_GB2312" w:cs="仿宋_GB2312"/>
          <w:color w:val="000000"/>
          <w:sz w:val="32"/>
          <w:szCs w:val="32"/>
          <w:highlight w:val="none"/>
          <w:lang w:bidi="en-US"/>
        </w:rPr>
        <w:t>～K</w:t>
      </w:r>
      <w:r>
        <w:rPr>
          <w:rFonts w:hint="eastAsia" w:ascii="仿宋_GB2312" w:hAnsi="仿宋_GB2312" w:eastAsia="仿宋_GB2312" w:cs="仿宋_GB2312"/>
          <w:color w:val="000000"/>
          <w:sz w:val="32"/>
          <w:szCs w:val="32"/>
          <w:highlight w:val="none"/>
          <w:lang w:val="en-US" w:eastAsia="zh-CN" w:bidi="en-US"/>
        </w:rPr>
        <w:t>74</w:t>
      </w:r>
      <w:r>
        <w:rPr>
          <w:rFonts w:hint="eastAsia" w:ascii="仿宋_GB2312" w:hAnsi="仿宋_GB2312" w:eastAsia="仿宋_GB2312" w:cs="仿宋_GB2312"/>
          <w:color w:val="000000"/>
          <w:sz w:val="32"/>
          <w:szCs w:val="32"/>
          <w:highlight w:val="none"/>
          <w:lang w:bidi="en-US"/>
        </w:rPr>
        <w:t>+</w:t>
      </w:r>
      <w:r>
        <w:rPr>
          <w:rFonts w:hint="eastAsia" w:ascii="仿宋_GB2312" w:hAnsi="仿宋_GB2312" w:eastAsia="仿宋_GB2312" w:cs="仿宋_GB2312"/>
          <w:color w:val="000000"/>
          <w:sz w:val="32"/>
          <w:szCs w:val="32"/>
          <w:highlight w:val="none"/>
          <w:lang w:val="en-US" w:eastAsia="zh-CN" w:bidi="en-US"/>
        </w:rPr>
        <w:t>090</w:t>
      </w:r>
      <w:r>
        <w:rPr>
          <w:rFonts w:hint="eastAsia" w:ascii="仿宋_GB2312" w:hAnsi="仿宋_GB2312" w:eastAsia="仿宋_GB2312" w:cs="仿宋_GB2312"/>
          <w:color w:val="000000"/>
          <w:sz w:val="32"/>
          <w:szCs w:val="32"/>
          <w:highlight w:val="none"/>
          <w:lang w:bidi="en-US"/>
        </w:rPr>
        <w:t>）</w:t>
      </w:r>
      <w:r>
        <w:rPr>
          <w:rFonts w:hint="eastAsia" w:ascii="仿宋_GB2312" w:hAnsi="仿宋_GB2312" w:eastAsia="仿宋_GB2312" w:cs="仿宋_GB2312"/>
          <w:color w:val="000000"/>
          <w:sz w:val="32"/>
          <w:szCs w:val="32"/>
          <w:highlight w:val="none"/>
          <w:lang w:eastAsia="zh-CN" w:bidi="en-US"/>
        </w:rPr>
        <w:t>及路面工程（</w:t>
      </w:r>
      <w:r>
        <w:rPr>
          <w:rFonts w:hint="eastAsia" w:ascii="仿宋_GB2312" w:hAnsi="仿宋_GB2312" w:eastAsia="仿宋_GB2312" w:cs="仿宋_GB2312"/>
          <w:color w:val="000000"/>
          <w:sz w:val="32"/>
          <w:szCs w:val="32"/>
          <w:highlight w:val="none"/>
          <w:lang w:bidi="en-US"/>
        </w:rPr>
        <w:t>K10+837.2～K</w:t>
      </w:r>
      <w:r>
        <w:rPr>
          <w:rFonts w:hint="eastAsia" w:ascii="仿宋_GB2312" w:hAnsi="仿宋_GB2312" w:eastAsia="仿宋_GB2312" w:cs="仿宋_GB2312"/>
          <w:color w:val="000000"/>
          <w:sz w:val="32"/>
          <w:szCs w:val="32"/>
          <w:highlight w:val="none"/>
          <w:lang w:val="en-US" w:eastAsia="zh-CN" w:bidi="en-US"/>
        </w:rPr>
        <w:t>74</w:t>
      </w:r>
      <w:r>
        <w:rPr>
          <w:rFonts w:hint="eastAsia" w:ascii="仿宋_GB2312" w:hAnsi="仿宋_GB2312" w:eastAsia="仿宋_GB2312" w:cs="仿宋_GB2312"/>
          <w:color w:val="000000"/>
          <w:sz w:val="32"/>
          <w:szCs w:val="32"/>
          <w:highlight w:val="none"/>
          <w:lang w:bidi="en-US"/>
        </w:rPr>
        <w:t>+</w:t>
      </w:r>
      <w:r>
        <w:rPr>
          <w:rFonts w:hint="eastAsia" w:ascii="仿宋_GB2312" w:hAnsi="仿宋_GB2312" w:eastAsia="仿宋_GB2312" w:cs="仿宋_GB2312"/>
          <w:color w:val="000000"/>
          <w:sz w:val="32"/>
          <w:szCs w:val="32"/>
          <w:highlight w:val="none"/>
          <w:lang w:val="en-US" w:eastAsia="zh-CN" w:bidi="en-US"/>
        </w:rPr>
        <w:t>090</w:t>
      </w:r>
      <w:r>
        <w:rPr>
          <w:rFonts w:hint="eastAsia" w:ascii="仿宋_GB2312" w:hAnsi="仿宋_GB2312" w:eastAsia="仿宋_GB2312" w:cs="仿宋_GB2312"/>
          <w:color w:val="000000"/>
          <w:sz w:val="32"/>
          <w:szCs w:val="32"/>
          <w:highlight w:val="none"/>
          <w:lang w:eastAsia="zh-CN" w:bidi="en-US"/>
        </w:rPr>
        <w:t>）</w:t>
      </w:r>
      <w:r>
        <w:rPr>
          <w:rFonts w:hint="eastAsia" w:ascii="仿宋_GB2312" w:hAnsi="仿宋_GB2312" w:eastAsia="仿宋_GB2312" w:cs="仿宋_GB2312"/>
          <w:color w:val="000000"/>
          <w:sz w:val="32"/>
          <w:szCs w:val="32"/>
          <w:highlight w:val="none"/>
          <w:lang w:bidi="en-US"/>
        </w:rPr>
        <w:t>交工验收前检测情况的报告</w:t>
      </w:r>
      <w:r>
        <w:rPr>
          <w:rFonts w:hint="eastAsia" w:ascii="仿宋_GB2312" w:hAnsi="仿宋_GB2312" w:eastAsia="仿宋_GB2312" w:cs="仿宋_GB2312"/>
          <w:color w:val="000000"/>
          <w:sz w:val="32"/>
          <w:szCs w:val="32"/>
          <w:highlight w:val="none"/>
          <w:lang w:eastAsia="zh-CN" w:bidi="en-US"/>
        </w:rPr>
        <w:t>》</w:t>
      </w:r>
      <w:r>
        <w:rPr>
          <w:rFonts w:hint="eastAsia" w:ascii="仿宋_GB2312" w:hAnsi="仿宋_GB2312" w:eastAsia="仿宋_GB2312" w:cs="仿宋_GB2312"/>
          <w:color w:val="000000"/>
          <w:sz w:val="32"/>
          <w:szCs w:val="32"/>
          <w:highlight w:val="none"/>
          <w:lang w:bidi="en-US"/>
        </w:rPr>
        <w:t>(榕东绕路工〔2019〕2</w:t>
      </w:r>
      <w:r>
        <w:rPr>
          <w:rFonts w:hint="eastAsia" w:ascii="仿宋_GB2312" w:hAnsi="仿宋_GB2312" w:eastAsia="仿宋_GB2312" w:cs="仿宋_GB2312"/>
          <w:color w:val="000000"/>
          <w:sz w:val="32"/>
          <w:szCs w:val="32"/>
          <w:highlight w:val="none"/>
          <w:lang w:val="en-US" w:eastAsia="zh-CN" w:bidi="en-US"/>
        </w:rPr>
        <w:t>5</w:t>
      </w:r>
      <w:r>
        <w:rPr>
          <w:rFonts w:hint="eastAsia" w:ascii="仿宋_GB2312" w:hAnsi="仿宋_GB2312" w:eastAsia="仿宋_GB2312" w:cs="仿宋_GB2312"/>
          <w:color w:val="000000"/>
          <w:sz w:val="32"/>
          <w:szCs w:val="32"/>
          <w:highlight w:val="none"/>
          <w:lang w:bidi="en-US"/>
        </w:rPr>
        <w:t>6号)</w:t>
      </w:r>
      <w:r>
        <w:rPr>
          <w:rFonts w:hint="eastAsia" w:ascii="仿宋_GB2312" w:eastAsia="仿宋_GB2312" w:cs="Times New Roman" w:hAnsiTheme="minorEastAsia"/>
          <w:sz w:val="32"/>
          <w:szCs w:val="32"/>
          <w:highlight w:val="none"/>
          <w:lang w:val="zh-CN" w:eastAsia="zh-CN"/>
        </w:rPr>
        <w:t>；</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（九）</w:t>
      </w:r>
      <w:r>
        <w:rPr>
          <w:rFonts w:hint="eastAsia" w:ascii="仿宋_GB2312" w:hAnsi="宋体" w:eastAsia="仿宋_GB2312" w:cs="Times New Roman"/>
          <w:color w:val="000000"/>
          <w:sz w:val="32"/>
          <w:szCs w:val="32"/>
          <w:lang w:eastAsia="zh-CN"/>
        </w:rPr>
        <w:t>《福州东南绕城高速公路有限公司关于上报福州绕城公路东南段浦口枢纽互通至青口枢纽互通(K10+837.2～K68+820）路基桥梁隧道工程交工质量检测发现问题整改及复查情况的报告》</w:t>
      </w:r>
      <w:r>
        <w:rPr>
          <w:rFonts w:hint="eastAsia" w:ascii="仿宋_GB2312" w:hAnsi="宋体" w:eastAsia="仿宋_GB2312" w:cs="Times New Roman"/>
          <w:color w:val="000000"/>
          <w:sz w:val="32"/>
          <w:szCs w:val="32"/>
        </w:rPr>
        <w:t>（</w:t>
      </w:r>
      <w:r>
        <w:rPr>
          <w:rFonts w:hint="eastAsia" w:ascii="仿宋_GB2312" w:hAnsi="宋体" w:eastAsia="仿宋_GB2312" w:cs="Times New Roman"/>
          <w:color w:val="000000"/>
          <w:sz w:val="32"/>
          <w:szCs w:val="32"/>
          <w:lang w:eastAsia="zh-CN"/>
        </w:rPr>
        <w:t>榕东绕路工〔2019〕245号</w:t>
      </w:r>
      <w:r>
        <w:rPr>
          <w:rFonts w:hint="eastAsia" w:ascii="仿宋_GB2312" w:hAnsi="宋体" w:eastAsia="仿宋_GB2312" w:cs="Times New Roman"/>
          <w:color w:val="000000"/>
          <w:sz w:val="32"/>
          <w:szCs w:val="32"/>
        </w:rPr>
        <w:t>）</w:t>
      </w:r>
      <w:r>
        <w:rPr>
          <w:rFonts w:hint="eastAsia" w:ascii="仿宋_GB2312" w:eastAsia="仿宋_GB2312" w:cs="Times New Roman" w:hAnsiTheme="minorEastAsia"/>
          <w:sz w:val="32"/>
          <w:szCs w:val="32"/>
          <w:highlight w:val="none"/>
          <w:lang w:val="zh-CN" w:eastAsia="zh-CN"/>
        </w:rPr>
        <w:t>；</w:t>
      </w:r>
    </w:p>
    <w:p>
      <w:pPr>
        <w:pStyle w:val="2"/>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（十）</w:t>
      </w:r>
      <w:r>
        <w:rPr>
          <w:rFonts w:hint="eastAsia" w:ascii="仿宋_GB2312" w:hAnsi="宋体" w:eastAsia="仿宋_GB2312" w:cs="Times New Roman"/>
          <w:color w:val="000000"/>
          <w:sz w:val="32"/>
          <w:szCs w:val="32"/>
          <w:lang w:eastAsia="zh-CN"/>
        </w:rPr>
        <w:t>《福州东南绕城高速公路有限公司关于上报福州绕城公路东南段浦口枢纽互通至青口枢纽互通</w:t>
      </w:r>
      <w:r>
        <w:rPr>
          <w:rFonts w:hint="eastAsia" w:ascii="仿宋_GB2312" w:hAnsi="仿宋_GB2312" w:eastAsia="仿宋_GB2312" w:cs="仿宋_GB2312"/>
          <w:color w:val="000000"/>
          <w:sz w:val="32"/>
          <w:szCs w:val="32"/>
          <w:highlight w:val="none"/>
          <w:lang w:bidi="en-US"/>
        </w:rPr>
        <w:t>(K</w:t>
      </w:r>
      <w:r>
        <w:rPr>
          <w:rFonts w:hint="eastAsia" w:ascii="仿宋_GB2312" w:hAnsi="仿宋_GB2312" w:eastAsia="仿宋_GB2312" w:cs="仿宋_GB2312"/>
          <w:color w:val="000000"/>
          <w:sz w:val="32"/>
          <w:szCs w:val="32"/>
          <w:highlight w:val="none"/>
          <w:lang w:val="en-US" w:eastAsia="zh-CN" w:bidi="en-US"/>
        </w:rPr>
        <w:t>68+820</w:t>
      </w:r>
      <w:r>
        <w:rPr>
          <w:rFonts w:hint="eastAsia" w:ascii="仿宋_GB2312" w:hAnsi="仿宋_GB2312" w:eastAsia="仿宋_GB2312" w:cs="仿宋_GB2312"/>
          <w:color w:val="000000"/>
          <w:sz w:val="32"/>
          <w:szCs w:val="32"/>
          <w:highlight w:val="none"/>
          <w:lang w:bidi="en-US"/>
        </w:rPr>
        <w:t>～K</w:t>
      </w:r>
      <w:r>
        <w:rPr>
          <w:rFonts w:hint="eastAsia" w:ascii="仿宋_GB2312" w:hAnsi="仿宋_GB2312" w:eastAsia="仿宋_GB2312" w:cs="仿宋_GB2312"/>
          <w:color w:val="000000"/>
          <w:sz w:val="32"/>
          <w:szCs w:val="32"/>
          <w:highlight w:val="none"/>
          <w:lang w:val="en-US" w:eastAsia="zh-CN" w:bidi="en-US"/>
        </w:rPr>
        <w:t>74</w:t>
      </w:r>
      <w:r>
        <w:rPr>
          <w:rFonts w:hint="eastAsia" w:ascii="仿宋_GB2312" w:hAnsi="仿宋_GB2312" w:eastAsia="仿宋_GB2312" w:cs="仿宋_GB2312"/>
          <w:color w:val="000000"/>
          <w:sz w:val="32"/>
          <w:szCs w:val="32"/>
          <w:highlight w:val="none"/>
          <w:lang w:bidi="en-US"/>
        </w:rPr>
        <w:t>+</w:t>
      </w:r>
      <w:r>
        <w:rPr>
          <w:rFonts w:hint="eastAsia" w:ascii="仿宋_GB2312" w:hAnsi="仿宋_GB2312" w:eastAsia="仿宋_GB2312" w:cs="仿宋_GB2312"/>
          <w:color w:val="000000"/>
          <w:sz w:val="32"/>
          <w:szCs w:val="32"/>
          <w:highlight w:val="none"/>
          <w:lang w:val="en-US" w:eastAsia="zh-CN" w:bidi="en-US"/>
        </w:rPr>
        <w:t>090</w:t>
      </w:r>
      <w:r>
        <w:rPr>
          <w:rFonts w:hint="eastAsia" w:ascii="仿宋_GB2312" w:hAnsi="仿宋_GB2312" w:eastAsia="仿宋_GB2312" w:cs="仿宋_GB2312"/>
          <w:color w:val="000000"/>
          <w:sz w:val="32"/>
          <w:szCs w:val="32"/>
          <w:highlight w:val="none"/>
          <w:lang w:bidi="en-US"/>
        </w:rPr>
        <w:t>）路基土建</w:t>
      </w:r>
      <w:r>
        <w:rPr>
          <w:rFonts w:hint="eastAsia" w:ascii="仿宋_GB2312" w:hAnsi="仿宋_GB2312" w:eastAsia="仿宋_GB2312" w:cs="仿宋_GB2312"/>
          <w:color w:val="000000"/>
          <w:sz w:val="32"/>
          <w:szCs w:val="32"/>
          <w:highlight w:val="none"/>
          <w:lang w:eastAsia="zh-CN" w:bidi="en-US"/>
        </w:rPr>
        <w:t>及（</w:t>
      </w:r>
      <w:r>
        <w:rPr>
          <w:rFonts w:hint="eastAsia" w:ascii="仿宋_GB2312" w:hAnsi="仿宋_GB2312" w:eastAsia="仿宋_GB2312" w:cs="仿宋_GB2312"/>
          <w:color w:val="000000"/>
          <w:sz w:val="32"/>
          <w:szCs w:val="32"/>
          <w:highlight w:val="none"/>
          <w:lang w:bidi="en-US"/>
        </w:rPr>
        <w:t>K10+837.2～K</w:t>
      </w:r>
      <w:r>
        <w:rPr>
          <w:rFonts w:hint="eastAsia" w:ascii="仿宋_GB2312" w:hAnsi="仿宋_GB2312" w:eastAsia="仿宋_GB2312" w:cs="仿宋_GB2312"/>
          <w:color w:val="000000"/>
          <w:sz w:val="32"/>
          <w:szCs w:val="32"/>
          <w:highlight w:val="none"/>
          <w:lang w:val="en-US" w:eastAsia="zh-CN" w:bidi="en-US"/>
        </w:rPr>
        <w:t>74</w:t>
      </w:r>
      <w:r>
        <w:rPr>
          <w:rFonts w:hint="eastAsia" w:ascii="仿宋_GB2312" w:hAnsi="仿宋_GB2312" w:eastAsia="仿宋_GB2312" w:cs="仿宋_GB2312"/>
          <w:color w:val="000000"/>
          <w:sz w:val="32"/>
          <w:szCs w:val="32"/>
          <w:highlight w:val="none"/>
          <w:lang w:bidi="en-US"/>
        </w:rPr>
        <w:t>+</w:t>
      </w:r>
      <w:r>
        <w:rPr>
          <w:rFonts w:hint="eastAsia" w:ascii="仿宋_GB2312" w:hAnsi="仿宋_GB2312" w:eastAsia="仿宋_GB2312" w:cs="仿宋_GB2312"/>
          <w:color w:val="000000"/>
          <w:sz w:val="32"/>
          <w:szCs w:val="32"/>
          <w:highlight w:val="none"/>
          <w:lang w:val="en-US" w:eastAsia="zh-CN" w:bidi="en-US"/>
        </w:rPr>
        <w:t>090</w:t>
      </w:r>
      <w:r>
        <w:rPr>
          <w:rFonts w:hint="eastAsia" w:ascii="仿宋_GB2312" w:hAnsi="仿宋_GB2312" w:eastAsia="仿宋_GB2312" w:cs="仿宋_GB2312"/>
          <w:color w:val="000000"/>
          <w:sz w:val="32"/>
          <w:szCs w:val="32"/>
          <w:highlight w:val="none"/>
          <w:lang w:eastAsia="zh-CN" w:bidi="en-US"/>
        </w:rPr>
        <w:t>）路面工程</w:t>
      </w:r>
      <w:r>
        <w:rPr>
          <w:rFonts w:hint="eastAsia" w:ascii="仿宋_GB2312" w:hAnsi="宋体" w:eastAsia="仿宋_GB2312" w:cs="Times New Roman"/>
          <w:color w:val="000000"/>
          <w:sz w:val="32"/>
          <w:szCs w:val="32"/>
          <w:lang w:eastAsia="zh-CN"/>
        </w:rPr>
        <w:t>交工质量检测发现问题整改及复查情况的报告》</w:t>
      </w:r>
      <w:r>
        <w:rPr>
          <w:rFonts w:hint="eastAsia" w:ascii="仿宋_GB2312" w:hAnsi="宋体" w:eastAsia="仿宋_GB2312" w:cs="Times New Roman"/>
          <w:color w:val="000000"/>
          <w:sz w:val="32"/>
          <w:szCs w:val="32"/>
        </w:rPr>
        <w:t>（</w:t>
      </w:r>
      <w:r>
        <w:rPr>
          <w:rFonts w:hint="eastAsia" w:ascii="仿宋_GB2312" w:hAnsi="宋体" w:eastAsia="仿宋_GB2312" w:cs="Times New Roman"/>
          <w:color w:val="000000"/>
          <w:sz w:val="32"/>
          <w:szCs w:val="32"/>
          <w:lang w:eastAsia="zh-CN"/>
        </w:rPr>
        <w:t>榕东绕路工〔2019〕2</w:t>
      </w:r>
      <w:r>
        <w:rPr>
          <w:rFonts w:hint="eastAsia" w:ascii="仿宋_GB2312" w:hAnsi="宋体" w:eastAsia="仿宋_GB2312" w:cs="Times New Roman"/>
          <w:color w:val="000000"/>
          <w:sz w:val="32"/>
          <w:szCs w:val="32"/>
          <w:lang w:val="en-US" w:eastAsia="zh-CN"/>
        </w:rPr>
        <w:t>62</w:t>
      </w:r>
      <w:r>
        <w:rPr>
          <w:rFonts w:hint="eastAsia" w:ascii="仿宋_GB2312" w:hAnsi="宋体" w:eastAsia="仿宋_GB2312" w:cs="Times New Roman"/>
          <w:color w:val="000000"/>
          <w:sz w:val="32"/>
          <w:szCs w:val="32"/>
          <w:lang w:eastAsia="zh-CN"/>
        </w:rPr>
        <w:t>号</w:t>
      </w:r>
      <w:r>
        <w:rPr>
          <w:rFonts w:hint="eastAsia" w:ascii="仿宋_GB2312" w:hAnsi="宋体" w:eastAsia="仿宋_GB2312" w:cs="Times New Roman"/>
          <w:color w:val="000000"/>
          <w:sz w:val="32"/>
          <w:szCs w:val="32"/>
        </w:rPr>
        <w:t>）</w:t>
      </w:r>
      <w:r>
        <w:rPr>
          <w:rFonts w:hint="eastAsia" w:ascii="仿宋_GB2312" w:eastAsia="仿宋_GB2312" w:cs="Times New Roman" w:hAnsiTheme="minorEastAsia"/>
          <w:sz w:val="32"/>
          <w:szCs w:val="32"/>
          <w:highlight w:val="none"/>
          <w:lang w:val="zh-CN" w:eastAsia="zh-CN"/>
        </w:rPr>
        <w:t>；</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（十一）工程施工合同、施工图设计及经批准的变更设计文件；</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（十二）施工单位对工程质量自检评定资料，监理工程师对工程质量评定资料，设计单位对工程设计符合性评价意见；</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（十三）参建单位的有关资料。</w:t>
      </w:r>
    </w:p>
    <w:p>
      <w:pPr>
        <w:spacing w:line="640" w:lineRule="exact"/>
        <w:ind w:firstLine="624"/>
        <w:rPr>
          <w:rFonts w:hint="eastAsia" w:ascii="黑体" w:hAnsi="宋体" w:eastAsia="黑体"/>
          <w:sz w:val="32"/>
          <w:szCs w:val="32"/>
        </w:rPr>
      </w:pPr>
      <w:r>
        <w:rPr>
          <w:rFonts w:hint="eastAsia" w:ascii="黑体" w:hAnsi="宋体" w:eastAsia="黑体"/>
          <w:sz w:val="32"/>
          <w:szCs w:val="32"/>
        </w:rPr>
        <w:t>三、质量评定</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按照《公路工程质量检验评定标准》和《公路工程竣(交)工验收办法》等相关要求，施工单位对分项、分部、单位及合同段工程自检评定并形成质量自检评定报告，质量评定结果为合格，并向监理单位提出“交工验收申请报告”。监理单位对施工单位自检评定报告进行审查并签认，同时对各施工合同段分部、单位和合同段工程开展独立抽检评定，形成质量抽检评定报告，质量评定结果为合格。</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设计单位按照《公路水运工程质量监督管理规定》等有关要求，对工程建设内容是否满足设计要求、是否达到使用功能等方面进行综合检查和分析评价，认为总体建设内容和使用功能符合设计要求。</w:t>
      </w:r>
    </w:p>
    <w:p>
      <w:pPr>
        <w:spacing w:line="640" w:lineRule="exact"/>
        <w:ind w:firstLine="624"/>
        <w:rPr>
          <w:rFonts w:hint="eastAsia" w:ascii="黑体" w:hAnsi="宋体" w:eastAsia="黑体"/>
          <w:sz w:val="32"/>
          <w:szCs w:val="32"/>
        </w:rPr>
      </w:pPr>
      <w:r>
        <w:rPr>
          <w:rFonts w:hint="eastAsia" w:ascii="黑体" w:hAnsi="宋体" w:eastAsia="黑体"/>
          <w:sz w:val="32"/>
          <w:szCs w:val="32"/>
        </w:rPr>
        <w:t>四、交工验收前检测组织</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建设单位根据《公路工程竣(交)工验收办法》、《公路工程竣（交）工验收办法实施细则》、《福建省交通运输厅关于印发福建省公路工程竣（交）工验收质量检测办法的通知》等有关规定，</w:t>
      </w:r>
      <w:r>
        <w:rPr>
          <w:rFonts w:hint="eastAsia" w:ascii="仿宋_GB2312" w:hAnsi="宋体" w:eastAsia="仿宋_GB2312" w:cs="Times New Roman"/>
          <w:sz w:val="32"/>
          <w:szCs w:val="32"/>
        </w:rPr>
        <w:t>委托福建省高速公路达通检测有限公司</w:t>
      </w:r>
      <w:r>
        <w:rPr>
          <w:rFonts w:hint="eastAsia" w:ascii="仿宋_GB2312" w:hAnsi="宋体" w:eastAsia="仿宋_GB2312" w:cs="Times New Roman"/>
          <w:sz w:val="32"/>
          <w:szCs w:val="32"/>
          <w:lang w:val="en-US" w:eastAsia="zh-CN"/>
        </w:rPr>
        <w:t>&amp;</w:t>
      </w:r>
      <w:r>
        <w:rPr>
          <w:rFonts w:hint="eastAsia" w:ascii="仿宋_GB2312" w:hAnsi="宋体" w:eastAsia="仿宋_GB2312" w:cs="Times New Roman"/>
          <w:sz w:val="32"/>
          <w:szCs w:val="32"/>
        </w:rPr>
        <w:t>招商局重庆交通科研设计院有限公司</w:t>
      </w:r>
      <w:r>
        <w:rPr>
          <w:rFonts w:hint="eastAsia" w:ascii="仿宋_GB2312" w:hAnsi="宋体" w:eastAsia="仿宋_GB2312" w:cs="Times New Roman"/>
          <w:sz w:val="32"/>
          <w:szCs w:val="32"/>
          <w:lang w:eastAsia="zh-CN"/>
        </w:rPr>
        <w:t>联合体、</w:t>
      </w:r>
      <w:r>
        <w:rPr>
          <w:rFonts w:hint="eastAsia" w:ascii="仿宋_GB2312" w:hAnsi="宋体" w:eastAsia="仿宋_GB2312" w:cs="Times New Roman"/>
          <w:sz w:val="32"/>
          <w:szCs w:val="32"/>
        </w:rPr>
        <w:t>福建省公路工程试验检测中心站开展项目交</w:t>
      </w:r>
      <w:r>
        <w:rPr>
          <w:rFonts w:hint="eastAsia" w:ascii="仿宋_GB2312" w:hAnsi="宋体" w:eastAsia="仿宋_GB2312"/>
          <w:sz w:val="32"/>
          <w:szCs w:val="32"/>
        </w:rPr>
        <w:t>工</w:t>
      </w:r>
      <w:r>
        <w:rPr>
          <w:rFonts w:hint="eastAsia" w:ascii="仿宋_GB2312" w:hAnsi="宋体" w:eastAsia="仿宋_GB2312" w:cs="仿宋_GB2312"/>
          <w:sz w:val="32"/>
          <w:szCs w:val="32"/>
        </w:rPr>
        <w:t>验收前质量检测相关工作</w:t>
      </w:r>
      <w:r>
        <w:rPr>
          <w:rFonts w:hint="eastAsia" w:ascii="仿宋_GB2312" w:eastAsia="仿宋_GB2312" w:cs="Times New Roman" w:hAnsiTheme="minorEastAsia"/>
          <w:sz w:val="32"/>
          <w:szCs w:val="32"/>
          <w:highlight w:val="none"/>
          <w:lang w:val="zh-CN" w:eastAsia="zh-CN"/>
        </w:rPr>
        <w:t>。</w:t>
      </w:r>
    </w:p>
    <w:p>
      <w:pPr>
        <w:spacing w:line="640" w:lineRule="exact"/>
        <w:ind w:firstLine="626"/>
        <w:rPr>
          <w:rFonts w:hint="eastAsia" w:ascii="仿宋_GB2312" w:eastAsia="仿宋_GB2312" w:cs="Times New Roman" w:hAnsiTheme="minorEastAsia"/>
          <w:sz w:val="32"/>
          <w:szCs w:val="32"/>
          <w:highlight w:val="yellow"/>
          <w:lang w:val="zh-CN" w:eastAsia="zh-CN"/>
        </w:rPr>
      </w:pPr>
      <w:r>
        <w:rPr>
          <w:rFonts w:hint="eastAsia" w:ascii="仿宋_GB2312" w:eastAsia="仿宋_GB2312" w:cs="Times New Roman" w:hAnsiTheme="minorEastAsia"/>
          <w:sz w:val="32"/>
          <w:szCs w:val="32"/>
          <w:highlight w:val="none"/>
          <w:lang w:val="zh-CN" w:eastAsia="zh-CN"/>
        </w:rPr>
        <w:t>检测单位对该项目路基、桥涵、隧道、路面及交安设施工程开展交工验收前工程外观检查、实体检测，并出具了相关检测报告。建设单位以</w:t>
      </w:r>
      <w:r>
        <w:rPr>
          <w:rFonts w:hint="eastAsia" w:ascii="仿宋_GB2312" w:hAnsi="宋体" w:eastAsia="仿宋_GB2312" w:cs="Times New Roman"/>
          <w:sz w:val="32"/>
          <w:szCs w:val="32"/>
          <w:highlight w:val="none"/>
          <w:lang w:eastAsia="zh-CN"/>
        </w:rPr>
        <w:t>《福州东南绕城高速公路有限公司</w:t>
      </w:r>
      <w:r>
        <w:rPr>
          <w:rFonts w:hint="eastAsia" w:ascii="仿宋_GB2312" w:hAnsi="仿宋_GB2312" w:eastAsia="仿宋_GB2312" w:cs="仿宋_GB2312"/>
          <w:color w:val="000000"/>
          <w:sz w:val="32"/>
          <w:szCs w:val="32"/>
          <w:highlight w:val="none"/>
          <w:lang w:bidi="en-US"/>
        </w:rPr>
        <w:t>关于上报福州绕城公路东南段浦口枢纽互通至青口枢纽互通(K10+837.2～K68+820）路基土建工程交工验收前检测情况的报告</w:t>
      </w:r>
      <w:r>
        <w:rPr>
          <w:rFonts w:hint="eastAsia" w:ascii="仿宋_GB2312" w:hAnsi="仿宋_GB2312" w:eastAsia="仿宋_GB2312" w:cs="仿宋_GB2312"/>
          <w:color w:val="000000"/>
          <w:sz w:val="32"/>
          <w:szCs w:val="32"/>
          <w:highlight w:val="none"/>
          <w:lang w:eastAsia="zh-CN" w:bidi="en-US"/>
        </w:rPr>
        <w:t>》</w:t>
      </w:r>
      <w:r>
        <w:rPr>
          <w:rFonts w:hint="eastAsia" w:ascii="仿宋_GB2312" w:hAnsi="仿宋_GB2312" w:eastAsia="仿宋_GB2312" w:cs="仿宋_GB2312"/>
          <w:color w:val="000000"/>
          <w:sz w:val="32"/>
          <w:szCs w:val="32"/>
          <w:highlight w:val="none"/>
          <w:lang w:bidi="en-US"/>
        </w:rPr>
        <w:t>(榕东绕路工〔2019〕226号)</w:t>
      </w:r>
      <w:r>
        <w:rPr>
          <w:rFonts w:hint="eastAsia" w:ascii="仿宋_GB2312" w:hAnsi="宋体" w:eastAsia="仿宋_GB2312" w:cs="Times New Roman"/>
          <w:color w:val="000000"/>
          <w:sz w:val="32"/>
          <w:szCs w:val="32"/>
          <w:lang w:eastAsia="zh-CN"/>
        </w:rPr>
        <w:t>及《福州东南绕城高速公路有限公司关于上报福州绕城公路东南段浦口枢纽互通至青口枢纽互通路基土建(K68+820～K74+090）及路面工程（K10+837.2～K74+090）交工验收前检测情况的报告》(榕东绕路工〔2019〕256号)</w:t>
      </w:r>
      <w:r>
        <w:rPr>
          <w:rFonts w:hint="eastAsia" w:ascii="仿宋_GB2312" w:eastAsia="仿宋_GB2312" w:cs="Times New Roman" w:hAnsiTheme="minorEastAsia"/>
          <w:sz w:val="32"/>
          <w:szCs w:val="32"/>
          <w:highlight w:val="none"/>
          <w:lang w:val="zh-CN" w:eastAsia="zh-CN"/>
        </w:rPr>
        <w:t>将结果报送我中心。</w:t>
      </w:r>
    </w:p>
    <w:p>
      <w:pPr>
        <w:spacing w:line="640" w:lineRule="exact"/>
        <w:ind w:firstLine="624"/>
        <w:rPr>
          <w:rFonts w:hint="eastAsia" w:ascii="黑体" w:hAnsi="宋体" w:eastAsia="黑体"/>
          <w:sz w:val="32"/>
          <w:szCs w:val="32"/>
        </w:rPr>
      </w:pPr>
      <w:r>
        <w:rPr>
          <w:rFonts w:hint="eastAsia" w:ascii="黑体" w:hAnsi="宋体" w:eastAsia="黑体"/>
          <w:sz w:val="32"/>
          <w:szCs w:val="32"/>
        </w:rPr>
        <w:t>五、</w:t>
      </w:r>
      <w:r>
        <w:rPr>
          <w:rFonts w:hint="eastAsia" w:ascii="黑体" w:hAnsi="宋体" w:eastAsia="黑体"/>
          <w:sz w:val="32"/>
          <w:szCs w:val="32"/>
          <w:lang w:eastAsia="zh-CN"/>
        </w:rPr>
        <w:t>交工验收</w:t>
      </w:r>
      <w:r>
        <w:rPr>
          <w:rFonts w:hint="eastAsia" w:ascii="黑体" w:hAnsi="宋体" w:eastAsia="黑体"/>
          <w:sz w:val="32"/>
          <w:szCs w:val="32"/>
        </w:rPr>
        <w:t>质量检测及问题整改</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hAnsi="宋体" w:eastAsia="仿宋_GB2312" w:cs="仿宋_GB2312"/>
          <w:sz w:val="32"/>
          <w:szCs w:val="32"/>
          <w:lang w:eastAsia="zh-CN"/>
        </w:rPr>
        <w:t>本项目路基土建工程</w:t>
      </w:r>
      <w:r>
        <w:rPr>
          <w:rFonts w:hint="eastAsia" w:ascii="仿宋_GB2312" w:hAnsi="宋体" w:eastAsia="仿宋_GB2312" w:cs="仿宋_GB2312"/>
          <w:sz w:val="32"/>
          <w:szCs w:val="32"/>
        </w:rPr>
        <w:t>共</w:t>
      </w:r>
      <w:r>
        <w:rPr>
          <w:rFonts w:hint="eastAsia" w:ascii="仿宋_GB2312" w:hAnsi="宋体" w:eastAsia="仿宋_GB2312" w:cs="仿宋_GB2312"/>
          <w:sz w:val="32"/>
          <w:szCs w:val="32"/>
          <w:lang w:val="en-US" w:eastAsia="zh-CN"/>
        </w:rPr>
        <w:t>13</w:t>
      </w:r>
      <w:r>
        <w:rPr>
          <w:rFonts w:hint="eastAsia" w:ascii="仿宋_GB2312" w:hAnsi="宋体" w:eastAsia="仿宋_GB2312" w:cs="仿宋_GB2312"/>
          <w:sz w:val="32"/>
          <w:szCs w:val="32"/>
        </w:rPr>
        <w:t>个施工合同段</w:t>
      </w:r>
      <w:r>
        <w:rPr>
          <w:rFonts w:hint="eastAsia" w:ascii="仿宋_GB2312" w:hAnsi="宋体" w:eastAsia="仿宋_GB2312" w:cs="仿宋_GB2312"/>
          <w:sz w:val="32"/>
          <w:szCs w:val="32"/>
          <w:lang w:eastAsia="zh-CN"/>
        </w:rPr>
        <w:t>，路面工程（含交安设施及景观绿化）共</w:t>
      </w:r>
      <w:r>
        <w:rPr>
          <w:rFonts w:hint="eastAsia" w:ascii="仿宋_GB2312" w:hAnsi="宋体" w:eastAsia="仿宋_GB2312" w:cs="仿宋_GB2312"/>
          <w:sz w:val="32"/>
          <w:szCs w:val="32"/>
          <w:lang w:val="en-US" w:eastAsia="zh-CN"/>
        </w:rPr>
        <w:t>3个施工合同段</w:t>
      </w:r>
      <w:r>
        <w:rPr>
          <w:rFonts w:hint="eastAsia" w:ascii="仿宋_GB2312" w:hAnsi="宋体" w:eastAsia="仿宋_GB2312" w:cs="仿宋_GB2312"/>
          <w:sz w:val="32"/>
          <w:szCs w:val="32"/>
        </w:rPr>
        <w:t>。</w:t>
      </w:r>
      <w:r>
        <w:rPr>
          <w:rFonts w:hint="eastAsia" w:ascii="仿宋_GB2312" w:eastAsia="仿宋_GB2312" w:cs="Times New Roman" w:hAnsiTheme="minorEastAsia"/>
          <w:sz w:val="32"/>
          <w:szCs w:val="32"/>
          <w:highlight w:val="none"/>
          <w:lang w:val="zh-CN" w:eastAsia="zh-CN"/>
        </w:rPr>
        <w:t>根据《公路工程质量鉴定办法》、福建省交通运输厅《关于印发福建省公路工程竣（交）工验收质量检测办法的通知》及《福建省公路水运工程质量监督管理实施细则》等有关规定，建设单位组织开展了交工验收前工程质量检测，共抽检了</w:t>
      </w:r>
      <w:r>
        <w:rPr>
          <w:rFonts w:hint="eastAsia" w:ascii="仿宋_GB2312" w:hAnsi="仿宋_GB2312" w:eastAsia="仿宋_GB2312" w:cs="仿宋_GB2312"/>
          <w:b w:val="0"/>
          <w:bCs w:val="0"/>
          <w:color w:val="000000"/>
          <w:sz w:val="32"/>
          <w:szCs w:val="32"/>
          <w:highlight w:val="none"/>
          <w:lang w:val="en-US" w:eastAsia="zh-CN"/>
        </w:rPr>
        <w:t>66690</w:t>
      </w:r>
      <w:r>
        <w:rPr>
          <w:rFonts w:hint="eastAsia" w:ascii="仿宋_GB2312" w:hAnsi="仿宋_GB2312" w:eastAsia="仿宋_GB2312" w:cs="仿宋_GB2312"/>
          <w:b w:val="0"/>
          <w:bCs w:val="0"/>
          <w:color w:val="000000"/>
          <w:sz w:val="32"/>
          <w:szCs w:val="32"/>
          <w:highlight w:val="none"/>
        </w:rPr>
        <w:t>点（组），合格</w:t>
      </w:r>
      <w:r>
        <w:rPr>
          <w:rFonts w:hint="eastAsia" w:ascii="仿宋_GB2312" w:hAnsi="仿宋_GB2312" w:eastAsia="仿宋_GB2312" w:cs="仿宋_GB2312"/>
          <w:b w:val="0"/>
          <w:bCs w:val="0"/>
          <w:color w:val="000000"/>
          <w:sz w:val="32"/>
          <w:szCs w:val="32"/>
          <w:highlight w:val="none"/>
          <w:lang w:val="en-US" w:eastAsia="zh-CN"/>
        </w:rPr>
        <w:t>64469</w:t>
      </w:r>
      <w:r>
        <w:rPr>
          <w:rFonts w:hint="eastAsia" w:ascii="仿宋_GB2312" w:hAnsi="仿宋_GB2312" w:eastAsia="仿宋_GB2312" w:cs="仿宋_GB2312"/>
          <w:b w:val="0"/>
          <w:bCs w:val="0"/>
          <w:color w:val="000000"/>
          <w:sz w:val="32"/>
          <w:szCs w:val="32"/>
          <w:highlight w:val="none"/>
        </w:rPr>
        <w:t>点（组），合格率为</w:t>
      </w:r>
      <w:r>
        <w:rPr>
          <w:rFonts w:hint="eastAsia" w:ascii="仿宋_GB2312" w:hAnsi="仿宋_GB2312" w:eastAsia="仿宋_GB2312" w:cs="仿宋_GB2312"/>
          <w:b w:val="0"/>
          <w:bCs w:val="0"/>
          <w:color w:val="000000"/>
          <w:sz w:val="32"/>
          <w:szCs w:val="32"/>
          <w:highlight w:val="none"/>
          <w:lang w:val="en-US" w:eastAsia="zh-CN"/>
        </w:rPr>
        <w:t>96.7</w:t>
      </w:r>
      <w:r>
        <w:rPr>
          <w:rFonts w:ascii="仿宋_GB2312" w:hAnsi="仿宋_GB2312" w:eastAsia="仿宋_GB2312" w:cs="仿宋_GB2312"/>
          <w:b w:val="0"/>
          <w:bCs w:val="0"/>
          <w:color w:val="000000"/>
          <w:sz w:val="32"/>
          <w:szCs w:val="32"/>
          <w:highlight w:val="none"/>
        </w:rPr>
        <w:t>%</w:t>
      </w:r>
      <w:r>
        <w:rPr>
          <w:rFonts w:hint="eastAsia" w:ascii="仿宋_GB2312" w:eastAsia="仿宋_GB2312" w:cs="Times New Roman" w:hAnsiTheme="minorEastAsia"/>
          <w:sz w:val="32"/>
          <w:szCs w:val="32"/>
          <w:highlight w:val="none"/>
          <w:lang w:val="zh-CN" w:eastAsia="zh-CN"/>
        </w:rPr>
        <w:t>。</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建设单位针对交工验收前检测、检查发现的工程质量问题，组织制定了方案进行整改。对可能影响结构承载力或结构安全的问题，建设单位邀请专家及相关单位组织论证，制定了专项整改方案，经设计单位确认、并完善审批程序后组织整改。建设单位根据《福建省公路竣（交）工验收质量检测办法的通知》精神，委托</w:t>
      </w:r>
      <w:r>
        <w:rPr>
          <w:rFonts w:hint="eastAsia" w:ascii="仿宋_GB2312" w:hAnsi="宋体" w:eastAsia="仿宋_GB2312" w:cs="Times New Roman"/>
          <w:sz w:val="32"/>
          <w:szCs w:val="32"/>
        </w:rPr>
        <w:t>福建省高速公路达通检测有限公司</w:t>
      </w:r>
      <w:r>
        <w:rPr>
          <w:rFonts w:hint="eastAsia" w:ascii="仿宋_GB2312" w:hAnsi="宋体" w:eastAsia="仿宋_GB2312" w:cs="Times New Roman"/>
          <w:sz w:val="32"/>
          <w:szCs w:val="32"/>
          <w:lang w:val="en-US" w:eastAsia="zh-CN"/>
        </w:rPr>
        <w:t>&amp;</w:t>
      </w:r>
      <w:r>
        <w:rPr>
          <w:rFonts w:hint="eastAsia" w:ascii="仿宋_GB2312" w:hAnsi="宋体" w:eastAsia="仿宋_GB2312" w:cs="Times New Roman"/>
          <w:sz w:val="32"/>
          <w:szCs w:val="32"/>
        </w:rPr>
        <w:t>招商局重庆交通科研设计院有限公司</w:t>
      </w:r>
      <w:r>
        <w:rPr>
          <w:rFonts w:hint="eastAsia" w:ascii="仿宋_GB2312" w:hAnsi="宋体" w:eastAsia="仿宋_GB2312" w:cs="Times New Roman"/>
          <w:sz w:val="32"/>
          <w:szCs w:val="32"/>
          <w:lang w:eastAsia="zh-CN"/>
        </w:rPr>
        <w:t>联合体、</w:t>
      </w:r>
      <w:r>
        <w:rPr>
          <w:rFonts w:hint="eastAsia" w:ascii="仿宋_GB2312" w:hAnsi="宋体" w:eastAsia="仿宋_GB2312" w:cs="Times New Roman"/>
          <w:sz w:val="32"/>
          <w:szCs w:val="32"/>
        </w:rPr>
        <w:t>福建省公路工程试验检测中心站</w:t>
      </w:r>
      <w:r>
        <w:rPr>
          <w:rFonts w:hint="eastAsia" w:ascii="仿宋_GB2312" w:eastAsia="仿宋_GB2312" w:cs="Times New Roman" w:hAnsiTheme="minorEastAsia"/>
          <w:sz w:val="32"/>
          <w:szCs w:val="32"/>
          <w:highlight w:val="none"/>
          <w:lang w:val="zh-CN" w:eastAsia="zh-CN"/>
        </w:rPr>
        <w:t>进行复查形成复查报告后，组织各参建单位进行专项验收。建设单位认为检测、检查发现的工程质量问题已整改到位，本次交工验收各项工程满足设计和使用功能要求，将结果以</w:t>
      </w:r>
      <w:r>
        <w:rPr>
          <w:rFonts w:hint="eastAsia" w:ascii="仿宋_GB2312" w:hAnsi="宋体" w:eastAsia="仿宋_GB2312" w:cs="Times New Roman"/>
          <w:color w:val="000000"/>
          <w:sz w:val="32"/>
          <w:szCs w:val="32"/>
          <w:highlight w:val="none"/>
          <w:lang w:eastAsia="zh-CN"/>
        </w:rPr>
        <w:t>《福州东南绕城高速公路有限公司关于上报福州绕城公路东南段浦口枢纽互通至青口枢纽互通(K10+837.2～K68+820）路基桥梁隧道工程交工质量检测发现问题整改及复查情况的报告》</w:t>
      </w:r>
      <w:r>
        <w:rPr>
          <w:rFonts w:hint="eastAsia" w:ascii="仿宋_GB2312" w:hAnsi="宋体" w:eastAsia="仿宋_GB2312" w:cs="Times New Roman"/>
          <w:color w:val="000000"/>
          <w:sz w:val="32"/>
          <w:szCs w:val="32"/>
          <w:highlight w:val="none"/>
        </w:rPr>
        <w:t>（</w:t>
      </w:r>
      <w:r>
        <w:rPr>
          <w:rFonts w:hint="eastAsia" w:ascii="仿宋_GB2312" w:hAnsi="宋体" w:eastAsia="仿宋_GB2312" w:cs="Times New Roman"/>
          <w:color w:val="000000"/>
          <w:sz w:val="32"/>
          <w:szCs w:val="32"/>
          <w:highlight w:val="none"/>
          <w:lang w:eastAsia="zh-CN"/>
        </w:rPr>
        <w:t>榕东绕路工〔2019〕245号</w:t>
      </w:r>
      <w:r>
        <w:rPr>
          <w:rFonts w:hint="eastAsia" w:ascii="仿宋_GB2312" w:hAnsi="宋体" w:eastAsia="仿宋_GB2312" w:cs="Times New Roman"/>
          <w:color w:val="000000"/>
          <w:sz w:val="32"/>
          <w:szCs w:val="32"/>
          <w:highlight w:val="none"/>
        </w:rPr>
        <w:t>）</w:t>
      </w:r>
      <w:r>
        <w:rPr>
          <w:rFonts w:hint="eastAsia" w:ascii="仿宋_GB2312" w:hAnsi="宋体" w:eastAsia="仿宋_GB2312" w:cs="Times New Roman"/>
          <w:color w:val="000000"/>
          <w:sz w:val="32"/>
          <w:szCs w:val="32"/>
          <w:highlight w:val="none"/>
          <w:lang w:eastAsia="zh-CN"/>
        </w:rPr>
        <w:t>及《福州东南绕城高速公路有限公司关于上报福州绕城公路东南段浦口枢纽互通至青口枢纽互通</w:t>
      </w:r>
      <w:r>
        <w:rPr>
          <w:rFonts w:hint="eastAsia" w:ascii="仿宋_GB2312" w:hAnsi="仿宋_GB2312" w:eastAsia="仿宋_GB2312" w:cs="仿宋_GB2312"/>
          <w:color w:val="000000"/>
          <w:sz w:val="32"/>
          <w:szCs w:val="32"/>
          <w:highlight w:val="none"/>
          <w:lang w:bidi="en-US"/>
        </w:rPr>
        <w:t>(K</w:t>
      </w:r>
      <w:r>
        <w:rPr>
          <w:rFonts w:hint="eastAsia" w:ascii="仿宋_GB2312" w:hAnsi="仿宋_GB2312" w:eastAsia="仿宋_GB2312" w:cs="仿宋_GB2312"/>
          <w:color w:val="000000"/>
          <w:sz w:val="32"/>
          <w:szCs w:val="32"/>
          <w:highlight w:val="none"/>
          <w:lang w:val="en-US" w:eastAsia="zh-CN" w:bidi="en-US"/>
        </w:rPr>
        <w:t>68+820</w:t>
      </w:r>
      <w:r>
        <w:rPr>
          <w:rFonts w:hint="eastAsia" w:ascii="仿宋_GB2312" w:hAnsi="仿宋_GB2312" w:eastAsia="仿宋_GB2312" w:cs="仿宋_GB2312"/>
          <w:color w:val="000000"/>
          <w:sz w:val="32"/>
          <w:szCs w:val="32"/>
          <w:highlight w:val="none"/>
          <w:lang w:bidi="en-US"/>
        </w:rPr>
        <w:t>～K</w:t>
      </w:r>
      <w:r>
        <w:rPr>
          <w:rFonts w:hint="eastAsia" w:ascii="仿宋_GB2312" w:hAnsi="仿宋_GB2312" w:eastAsia="仿宋_GB2312" w:cs="仿宋_GB2312"/>
          <w:color w:val="000000"/>
          <w:sz w:val="32"/>
          <w:szCs w:val="32"/>
          <w:highlight w:val="none"/>
          <w:lang w:val="en-US" w:eastAsia="zh-CN" w:bidi="en-US"/>
        </w:rPr>
        <w:t>74</w:t>
      </w:r>
      <w:r>
        <w:rPr>
          <w:rFonts w:hint="eastAsia" w:ascii="仿宋_GB2312" w:hAnsi="仿宋_GB2312" w:eastAsia="仿宋_GB2312" w:cs="仿宋_GB2312"/>
          <w:color w:val="000000"/>
          <w:sz w:val="32"/>
          <w:szCs w:val="32"/>
          <w:highlight w:val="none"/>
          <w:lang w:bidi="en-US"/>
        </w:rPr>
        <w:t>+</w:t>
      </w:r>
      <w:r>
        <w:rPr>
          <w:rFonts w:hint="eastAsia" w:ascii="仿宋_GB2312" w:hAnsi="仿宋_GB2312" w:eastAsia="仿宋_GB2312" w:cs="仿宋_GB2312"/>
          <w:color w:val="000000"/>
          <w:sz w:val="32"/>
          <w:szCs w:val="32"/>
          <w:highlight w:val="none"/>
          <w:lang w:val="en-US" w:eastAsia="zh-CN" w:bidi="en-US"/>
        </w:rPr>
        <w:t>090</w:t>
      </w:r>
      <w:r>
        <w:rPr>
          <w:rFonts w:hint="eastAsia" w:ascii="仿宋_GB2312" w:hAnsi="仿宋_GB2312" w:eastAsia="仿宋_GB2312" w:cs="仿宋_GB2312"/>
          <w:color w:val="000000"/>
          <w:sz w:val="32"/>
          <w:szCs w:val="32"/>
          <w:highlight w:val="none"/>
          <w:lang w:bidi="en-US"/>
        </w:rPr>
        <w:t>）路基土建</w:t>
      </w:r>
      <w:r>
        <w:rPr>
          <w:rFonts w:hint="eastAsia" w:ascii="仿宋_GB2312" w:hAnsi="仿宋_GB2312" w:eastAsia="仿宋_GB2312" w:cs="仿宋_GB2312"/>
          <w:color w:val="000000"/>
          <w:sz w:val="32"/>
          <w:szCs w:val="32"/>
          <w:highlight w:val="none"/>
          <w:lang w:eastAsia="zh-CN" w:bidi="en-US"/>
        </w:rPr>
        <w:t>及（</w:t>
      </w:r>
      <w:r>
        <w:rPr>
          <w:rFonts w:hint="eastAsia" w:ascii="仿宋_GB2312" w:hAnsi="仿宋_GB2312" w:eastAsia="仿宋_GB2312" w:cs="仿宋_GB2312"/>
          <w:color w:val="000000"/>
          <w:sz w:val="32"/>
          <w:szCs w:val="32"/>
          <w:highlight w:val="none"/>
          <w:lang w:bidi="en-US"/>
        </w:rPr>
        <w:t>K10+837.2～K</w:t>
      </w:r>
      <w:r>
        <w:rPr>
          <w:rFonts w:hint="eastAsia" w:ascii="仿宋_GB2312" w:hAnsi="仿宋_GB2312" w:eastAsia="仿宋_GB2312" w:cs="仿宋_GB2312"/>
          <w:color w:val="000000"/>
          <w:sz w:val="32"/>
          <w:szCs w:val="32"/>
          <w:highlight w:val="none"/>
          <w:lang w:val="en-US" w:eastAsia="zh-CN" w:bidi="en-US"/>
        </w:rPr>
        <w:t>74</w:t>
      </w:r>
      <w:r>
        <w:rPr>
          <w:rFonts w:hint="eastAsia" w:ascii="仿宋_GB2312" w:hAnsi="仿宋_GB2312" w:eastAsia="仿宋_GB2312" w:cs="仿宋_GB2312"/>
          <w:color w:val="000000"/>
          <w:sz w:val="32"/>
          <w:szCs w:val="32"/>
          <w:highlight w:val="none"/>
          <w:lang w:bidi="en-US"/>
        </w:rPr>
        <w:t>+</w:t>
      </w:r>
      <w:r>
        <w:rPr>
          <w:rFonts w:hint="eastAsia" w:ascii="仿宋_GB2312" w:hAnsi="仿宋_GB2312" w:eastAsia="仿宋_GB2312" w:cs="仿宋_GB2312"/>
          <w:color w:val="000000"/>
          <w:sz w:val="32"/>
          <w:szCs w:val="32"/>
          <w:highlight w:val="none"/>
          <w:lang w:val="en-US" w:eastAsia="zh-CN" w:bidi="en-US"/>
        </w:rPr>
        <w:t>090</w:t>
      </w:r>
      <w:r>
        <w:rPr>
          <w:rFonts w:hint="eastAsia" w:ascii="仿宋_GB2312" w:hAnsi="仿宋_GB2312" w:eastAsia="仿宋_GB2312" w:cs="仿宋_GB2312"/>
          <w:color w:val="000000"/>
          <w:sz w:val="32"/>
          <w:szCs w:val="32"/>
          <w:highlight w:val="none"/>
          <w:lang w:eastAsia="zh-CN" w:bidi="en-US"/>
        </w:rPr>
        <w:t>）路面工程</w:t>
      </w:r>
      <w:r>
        <w:rPr>
          <w:rFonts w:hint="eastAsia" w:ascii="仿宋_GB2312" w:hAnsi="宋体" w:eastAsia="仿宋_GB2312" w:cs="Times New Roman"/>
          <w:color w:val="000000"/>
          <w:sz w:val="32"/>
          <w:szCs w:val="32"/>
          <w:highlight w:val="none"/>
          <w:lang w:eastAsia="zh-CN"/>
        </w:rPr>
        <w:t>交工质量检测发现问题整改及复查情况的报告》</w:t>
      </w:r>
      <w:r>
        <w:rPr>
          <w:rFonts w:hint="eastAsia" w:ascii="仿宋_GB2312" w:hAnsi="宋体" w:eastAsia="仿宋_GB2312" w:cs="Times New Roman"/>
          <w:color w:val="000000"/>
          <w:sz w:val="32"/>
          <w:szCs w:val="32"/>
          <w:highlight w:val="none"/>
        </w:rPr>
        <w:t>（</w:t>
      </w:r>
      <w:r>
        <w:rPr>
          <w:rFonts w:hint="eastAsia" w:ascii="仿宋_GB2312" w:hAnsi="宋体" w:eastAsia="仿宋_GB2312" w:cs="Times New Roman"/>
          <w:color w:val="000000"/>
          <w:sz w:val="32"/>
          <w:szCs w:val="32"/>
          <w:highlight w:val="none"/>
          <w:lang w:eastAsia="zh-CN"/>
        </w:rPr>
        <w:t>榕东绕路工〔2019〕2</w:t>
      </w:r>
      <w:r>
        <w:rPr>
          <w:rFonts w:hint="eastAsia" w:ascii="仿宋_GB2312" w:hAnsi="宋体" w:eastAsia="仿宋_GB2312" w:cs="Times New Roman"/>
          <w:color w:val="000000"/>
          <w:sz w:val="32"/>
          <w:szCs w:val="32"/>
          <w:highlight w:val="none"/>
          <w:lang w:val="en-US" w:eastAsia="zh-CN"/>
        </w:rPr>
        <w:t>62</w:t>
      </w:r>
      <w:r>
        <w:rPr>
          <w:rFonts w:hint="eastAsia" w:ascii="仿宋_GB2312" w:hAnsi="宋体" w:eastAsia="仿宋_GB2312" w:cs="Times New Roman"/>
          <w:color w:val="000000"/>
          <w:sz w:val="32"/>
          <w:szCs w:val="32"/>
          <w:highlight w:val="none"/>
          <w:lang w:eastAsia="zh-CN"/>
        </w:rPr>
        <w:t>号</w:t>
      </w:r>
      <w:r>
        <w:rPr>
          <w:rFonts w:hint="eastAsia" w:ascii="仿宋_GB2312" w:hAnsi="宋体" w:eastAsia="仿宋_GB2312" w:cs="Times New Roman"/>
          <w:color w:val="000000"/>
          <w:sz w:val="32"/>
          <w:szCs w:val="32"/>
          <w:highlight w:val="none"/>
        </w:rPr>
        <w:t>）</w:t>
      </w:r>
      <w:r>
        <w:rPr>
          <w:rFonts w:hint="eastAsia" w:ascii="仿宋_GB2312" w:eastAsia="仿宋_GB2312" w:cs="Times New Roman" w:hAnsiTheme="minorEastAsia"/>
          <w:sz w:val="32"/>
          <w:szCs w:val="32"/>
          <w:highlight w:val="none"/>
          <w:lang w:val="zh-CN" w:eastAsia="zh-CN"/>
        </w:rPr>
        <w:t>报送我中心。</w:t>
      </w:r>
    </w:p>
    <w:p>
      <w:pPr>
        <w:spacing w:line="640" w:lineRule="exact"/>
        <w:ind w:firstLine="624"/>
        <w:rPr>
          <w:rFonts w:hint="eastAsia" w:ascii="黑体" w:hAnsi="宋体" w:eastAsia="黑体"/>
          <w:sz w:val="32"/>
          <w:szCs w:val="32"/>
        </w:rPr>
      </w:pPr>
      <w:r>
        <w:rPr>
          <w:rFonts w:hint="eastAsia" w:ascii="黑体" w:hAnsi="宋体" w:eastAsia="黑体"/>
          <w:sz w:val="32"/>
          <w:szCs w:val="32"/>
        </w:rPr>
        <w:t>六、</w:t>
      </w:r>
      <w:r>
        <w:rPr>
          <w:rFonts w:hint="eastAsia" w:ascii="黑体" w:hAnsi="宋体" w:eastAsia="黑体"/>
          <w:sz w:val="32"/>
          <w:szCs w:val="32"/>
          <w:lang w:eastAsia="zh-CN"/>
        </w:rPr>
        <w:t>交工</w:t>
      </w:r>
      <w:r>
        <w:rPr>
          <w:rFonts w:hint="eastAsia" w:ascii="黑体" w:hAnsi="宋体" w:eastAsia="黑体"/>
          <w:sz w:val="32"/>
          <w:szCs w:val="32"/>
        </w:rPr>
        <w:t>验证性检测及核验意见</w:t>
      </w:r>
    </w:p>
    <w:p>
      <w:pPr>
        <w:spacing w:line="640" w:lineRule="exact"/>
        <w:ind w:firstLine="626"/>
        <w:rPr>
          <w:rFonts w:hint="eastAsia" w:ascii="仿宋_GB2312" w:eastAsia="仿宋_GB2312" w:cs="Times New Roman" w:hAnsiTheme="minorEastAsia"/>
          <w:sz w:val="32"/>
          <w:szCs w:val="32"/>
          <w:highlight w:val="none"/>
          <w:lang w:val="zh-CN" w:eastAsia="zh-CN"/>
        </w:rPr>
      </w:pPr>
      <w:r>
        <w:rPr>
          <w:rFonts w:hint="eastAsia" w:ascii="仿宋_GB2312" w:eastAsia="仿宋_GB2312" w:cs="Times New Roman" w:hAnsiTheme="minorEastAsia"/>
          <w:sz w:val="32"/>
          <w:szCs w:val="32"/>
          <w:highlight w:val="none"/>
          <w:lang w:val="zh-CN" w:eastAsia="zh-CN"/>
        </w:rPr>
        <w:t>我中心在建设单位组织的工程质量检查、检测及问题整改的基础上，</w:t>
      </w:r>
      <w:r>
        <w:rPr>
          <w:rFonts w:hint="eastAsia" w:ascii="仿宋_GB2312" w:hAnsi="宋体" w:eastAsia="仿宋_GB2312"/>
          <w:sz w:val="32"/>
          <w:szCs w:val="32"/>
          <w:lang w:val="en-US" w:eastAsia="zh-CN"/>
        </w:rPr>
        <w:t>分别</w:t>
      </w:r>
      <w:r>
        <w:rPr>
          <w:rFonts w:hint="eastAsia" w:ascii="仿宋_GB2312" w:eastAsia="仿宋_GB2312" w:cs="Times New Roman" w:hAnsiTheme="minorEastAsia"/>
          <w:sz w:val="32"/>
          <w:szCs w:val="32"/>
          <w:highlight w:val="none"/>
          <w:lang w:val="zh-CN" w:eastAsia="zh-CN"/>
        </w:rPr>
        <w:t>于</w:t>
      </w:r>
      <w:r>
        <w:rPr>
          <w:rFonts w:hint="eastAsia" w:ascii="仿宋_GB2312" w:hAnsi="宋体" w:eastAsia="仿宋_GB2312"/>
          <w:sz w:val="32"/>
          <w:szCs w:val="32"/>
          <w:lang w:val="zh-CN"/>
        </w:rPr>
        <w:t>201</w:t>
      </w:r>
      <w:r>
        <w:rPr>
          <w:rFonts w:hint="eastAsia" w:ascii="仿宋_GB2312" w:hAnsi="宋体" w:eastAsia="仿宋_GB2312"/>
          <w:sz w:val="32"/>
          <w:szCs w:val="32"/>
        </w:rPr>
        <w:t>9</w:t>
      </w:r>
      <w:r>
        <w:rPr>
          <w:rFonts w:hint="eastAsia" w:ascii="仿宋_GB2312" w:hAnsi="宋体" w:eastAsia="仿宋_GB2312"/>
          <w:sz w:val="32"/>
          <w:szCs w:val="32"/>
          <w:lang w:val="zh-CN"/>
        </w:rPr>
        <w:t>年</w:t>
      </w:r>
      <w:r>
        <w:rPr>
          <w:rFonts w:hint="eastAsia" w:ascii="仿宋_GB2312" w:hAnsi="宋体" w:eastAsia="仿宋_GB2312"/>
          <w:sz w:val="32"/>
          <w:szCs w:val="32"/>
          <w:lang w:val="en-US" w:eastAsia="zh-CN"/>
        </w:rPr>
        <w:t>9</w:t>
      </w:r>
      <w:r>
        <w:rPr>
          <w:rFonts w:hint="eastAsia" w:ascii="仿宋_GB2312" w:hAnsi="宋体" w:eastAsia="仿宋_GB2312"/>
          <w:sz w:val="32"/>
          <w:szCs w:val="32"/>
          <w:lang w:val="zh-CN"/>
        </w:rPr>
        <w:t>月</w:t>
      </w:r>
      <w:r>
        <w:rPr>
          <w:rFonts w:hint="eastAsia" w:ascii="仿宋_GB2312" w:hAnsi="宋体" w:eastAsia="仿宋_GB2312"/>
          <w:sz w:val="32"/>
          <w:szCs w:val="32"/>
          <w:lang w:val="en-US" w:eastAsia="zh-CN"/>
        </w:rPr>
        <w:t>9日-11日和9月23日</w:t>
      </w:r>
      <w:r>
        <w:rPr>
          <w:rFonts w:hint="eastAsia" w:ascii="仿宋_GB2312" w:eastAsia="仿宋_GB2312" w:cs="Times New Roman" w:hAnsiTheme="minorEastAsia"/>
          <w:sz w:val="32"/>
          <w:szCs w:val="32"/>
          <w:highlight w:val="none"/>
          <w:lang w:val="zh-CN" w:eastAsia="zh-CN"/>
        </w:rPr>
        <w:t>组织对该项目交工前质量检测结果进行验证性检测，并对建设单位提交的资料进行审核，签发了《公路工程质量抽查意见通知书》（闽交质监公〔201</w:t>
      </w:r>
      <w:r>
        <w:rPr>
          <w:rFonts w:hint="eastAsia" w:ascii="仿宋_GB2312" w:eastAsia="仿宋_GB2312" w:cs="Times New Roman" w:hAnsiTheme="minorEastAsia"/>
          <w:sz w:val="32"/>
          <w:szCs w:val="32"/>
          <w:highlight w:val="none"/>
          <w:lang w:val="en-US" w:eastAsia="zh-CN"/>
        </w:rPr>
        <w:t>9</w:t>
      </w:r>
      <w:r>
        <w:rPr>
          <w:rFonts w:hint="eastAsia" w:ascii="仿宋_GB2312" w:eastAsia="仿宋_GB2312" w:cs="Times New Roman" w:hAnsiTheme="minorEastAsia"/>
          <w:sz w:val="32"/>
          <w:szCs w:val="32"/>
          <w:highlight w:val="none"/>
          <w:lang w:val="zh-CN" w:eastAsia="zh-CN"/>
        </w:rPr>
        <w:t>〕</w:t>
      </w:r>
      <w:r>
        <w:rPr>
          <w:rFonts w:hint="eastAsia" w:ascii="仿宋_GB2312" w:eastAsia="仿宋_GB2312" w:cs="Times New Roman" w:hAnsiTheme="minorEastAsia"/>
          <w:sz w:val="32"/>
          <w:szCs w:val="32"/>
          <w:highlight w:val="none"/>
          <w:lang w:val="en-US" w:eastAsia="zh-CN"/>
        </w:rPr>
        <w:t>FZRC</w:t>
      </w:r>
      <w:r>
        <w:rPr>
          <w:rFonts w:hint="default" w:ascii="仿宋_GB2312" w:eastAsia="仿宋_GB2312" w:cs="Times New Roman" w:hAnsiTheme="minorEastAsia"/>
          <w:sz w:val="32"/>
          <w:szCs w:val="32"/>
          <w:highlight w:val="none"/>
          <w:lang w:val="en-US" w:eastAsia="zh-CN"/>
        </w:rPr>
        <w:t>0</w:t>
      </w:r>
      <w:r>
        <w:rPr>
          <w:rFonts w:hint="eastAsia" w:ascii="仿宋_GB2312" w:eastAsia="仿宋_GB2312" w:cs="Times New Roman" w:hAnsiTheme="minorEastAsia"/>
          <w:sz w:val="32"/>
          <w:szCs w:val="32"/>
          <w:highlight w:val="none"/>
          <w:lang w:val="en-US" w:eastAsia="zh-CN"/>
        </w:rPr>
        <w:t>9</w:t>
      </w:r>
      <w:r>
        <w:rPr>
          <w:rFonts w:hint="default" w:ascii="仿宋_GB2312" w:eastAsia="仿宋_GB2312" w:cs="Times New Roman" w:hAnsiTheme="minorEastAsia"/>
          <w:sz w:val="32"/>
          <w:szCs w:val="32"/>
          <w:highlight w:val="none"/>
          <w:lang w:val="en-US" w:eastAsia="zh-CN"/>
        </w:rPr>
        <w:t>01</w:t>
      </w:r>
      <w:r>
        <w:rPr>
          <w:rFonts w:hint="eastAsia" w:ascii="仿宋_GB2312" w:eastAsia="仿宋_GB2312" w:cs="Times New Roman" w:hAnsiTheme="minorEastAsia"/>
          <w:sz w:val="32"/>
          <w:szCs w:val="32"/>
          <w:highlight w:val="none"/>
          <w:lang w:val="zh-CN" w:eastAsia="zh-CN"/>
        </w:rPr>
        <w:t>号）和《公路工程质量抽查意见通知书》（闽交质监公〔201</w:t>
      </w:r>
      <w:r>
        <w:rPr>
          <w:rFonts w:hint="eastAsia" w:ascii="仿宋_GB2312" w:eastAsia="仿宋_GB2312" w:cs="Times New Roman" w:hAnsiTheme="minorEastAsia"/>
          <w:sz w:val="32"/>
          <w:szCs w:val="32"/>
          <w:highlight w:val="none"/>
          <w:lang w:val="en-US" w:eastAsia="zh-CN"/>
        </w:rPr>
        <w:t>9</w:t>
      </w:r>
      <w:r>
        <w:rPr>
          <w:rFonts w:hint="eastAsia" w:ascii="仿宋_GB2312" w:eastAsia="仿宋_GB2312" w:cs="Times New Roman" w:hAnsiTheme="minorEastAsia"/>
          <w:sz w:val="32"/>
          <w:szCs w:val="32"/>
          <w:highlight w:val="none"/>
          <w:lang w:val="zh-CN" w:eastAsia="zh-CN"/>
        </w:rPr>
        <w:t>〕</w:t>
      </w:r>
      <w:r>
        <w:rPr>
          <w:rFonts w:hint="eastAsia" w:ascii="仿宋_GB2312" w:eastAsia="仿宋_GB2312" w:cs="Times New Roman" w:hAnsiTheme="minorEastAsia"/>
          <w:sz w:val="32"/>
          <w:szCs w:val="32"/>
          <w:highlight w:val="none"/>
          <w:lang w:val="en-US" w:eastAsia="zh-CN"/>
        </w:rPr>
        <w:t>FZRC</w:t>
      </w:r>
      <w:r>
        <w:rPr>
          <w:rFonts w:hint="default" w:ascii="仿宋_GB2312" w:eastAsia="仿宋_GB2312" w:cs="Times New Roman" w:hAnsiTheme="minorEastAsia"/>
          <w:sz w:val="32"/>
          <w:szCs w:val="32"/>
          <w:highlight w:val="none"/>
          <w:lang w:val="en-US" w:eastAsia="zh-CN"/>
        </w:rPr>
        <w:t>0</w:t>
      </w:r>
      <w:r>
        <w:rPr>
          <w:rFonts w:hint="eastAsia" w:ascii="仿宋_GB2312" w:eastAsia="仿宋_GB2312" w:cs="Times New Roman" w:hAnsiTheme="minorEastAsia"/>
          <w:sz w:val="32"/>
          <w:szCs w:val="32"/>
          <w:highlight w:val="none"/>
          <w:lang w:val="en-US" w:eastAsia="zh-CN"/>
        </w:rPr>
        <w:t>9</w:t>
      </w:r>
      <w:r>
        <w:rPr>
          <w:rFonts w:hint="default" w:ascii="仿宋_GB2312" w:eastAsia="仿宋_GB2312" w:cs="Times New Roman" w:hAnsiTheme="minorEastAsia"/>
          <w:sz w:val="32"/>
          <w:szCs w:val="32"/>
          <w:highlight w:val="none"/>
          <w:lang w:val="en-US" w:eastAsia="zh-CN"/>
        </w:rPr>
        <w:t>0</w:t>
      </w:r>
      <w:r>
        <w:rPr>
          <w:rFonts w:hint="eastAsia" w:ascii="仿宋_GB2312" w:eastAsia="仿宋_GB2312" w:cs="Times New Roman" w:hAnsiTheme="minorEastAsia"/>
          <w:sz w:val="32"/>
          <w:szCs w:val="32"/>
          <w:highlight w:val="none"/>
          <w:lang w:val="en-US" w:eastAsia="zh-CN"/>
        </w:rPr>
        <w:t>2</w:t>
      </w:r>
      <w:r>
        <w:rPr>
          <w:rFonts w:hint="eastAsia" w:ascii="仿宋_GB2312" w:eastAsia="仿宋_GB2312" w:cs="Times New Roman" w:hAnsiTheme="minorEastAsia"/>
          <w:sz w:val="32"/>
          <w:szCs w:val="32"/>
          <w:highlight w:val="none"/>
          <w:lang w:val="zh-CN" w:eastAsia="zh-CN"/>
        </w:rPr>
        <w:t>号）。建设单位对抽查意见通知书提出的问题组织整改，将整改结果以</w:t>
      </w:r>
      <w:r>
        <w:rPr>
          <w:rFonts w:hint="eastAsia" w:ascii="仿宋_GB2312" w:hAnsi="宋体" w:eastAsia="仿宋_GB2312" w:cs="Times New Roman"/>
          <w:color w:val="000000"/>
          <w:sz w:val="32"/>
          <w:szCs w:val="32"/>
          <w:highlight w:val="none"/>
          <w:lang w:eastAsia="zh-CN"/>
        </w:rPr>
        <w:t>《福州东南绕城高速公路有限公司关于上报省质监局公路工程质量抽查意见通知书</w:t>
      </w:r>
      <w:r>
        <w:rPr>
          <w:rFonts w:hint="eastAsia" w:ascii="仿宋_GB2312" w:eastAsia="仿宋_GB2312" w:cs="Times New Roman" w:hAnsiTheme="minorEastAsia"/>
          <w:sz w:val="32"/>
          <w:szCs w:val="32"/>
          <w:highlight w:val="none"/>
          <w:lang w:val="zh-CN" w:eastAsia="zh-CN"/>
        </w:rPr>
        <w:t>（闽交质监公〔201</w:t>
      </w:r>
      <w:r>
        <w:rPr>
          <w:rFonts w:hint="eastAsia" w:ascii="仿宋_GB2312" w:eastAsia="仿宋_GB2312" w:cs="Times New Roman" w:hAnsiTheme="minorEastAsia"/>
          <w:sz w:val="32"/>
          <w:szCs w:val="32"/>
          <w:highlight w:val="none"/>
          <w:lang w:val="en-US" w:eastAsia="zh-CN"/>
        </w:rPr>
        <w:t>9</w:t>
      </w:r>
      <w:r>
        <w:rPr>
          <w:rFonts w:hint="eastAsia" w:ascii="仿宋_GB2312" w:eastAsia="仿宋_GB2312" w:cs="Times New Roman" w:hAnsiTheme="minorEastAsia"/>
          <w:sz w:val="32"/>
          <w:szCs w:val="32"/>
          <w:highlight w:val="none"/>
          <w:lang w:val="zh-CN" w:eastAsia="zh-CN"/>
        </w:rPr>
        <w:t>〕</w:t>
      </w:r>
      <w:r>
        <w:rPr>
          <w:rFonts w:hint="eastAsia" w:ascii="仿宋_GB2312" w:eastAsia="仿宋_GB2312" w:cs="Times New Roman" w:hAnsiTheme="minorEastAsia"/>
          <w:sz w:val="32"/>
          <w:szCs w:val="32"/>
          <w:highlight w:val="none"/>
          <w:lang w:val="en-US" w:eastAsia="zh-CN"/>
        </w:rPr>
        <w:t>FZRC</w:t>
      </w:r>
      <w:r>
        <w:rPr>
          <w:rFonts w:hint="default" w:ascii="仿宋_GB2312" w:eastAsia="仿宋_GB2312" w:cs="Times New Roman" w:hAnsiTheme="minorEastAsia"/>
          <w:sz w:val="32"/>
          <w:szCs w:val="32"/>
          <w:highlight w:val="none"/>
          <w:lang w:val="en-US" w:eastAsia="zh-CN"/>
        </w:rPr>
        <w:t>0</w:t>
      </w:r>
      <w:r>
        <w:rPr>
          <w:rFonts w:hint="eastAsia" w:ascii="仿宋_GB2312" w:eastAsia="仿宋_GB2312" w:cs="Times New Roman" w:hAnsiTheme="minorEastAsia"/>
          <w:sz w:val="32"/>
          <w:szCs w:val="32"/>
          <w:highlight w:val="none"/>
          <w:lang w:val="en-US" w:eastAsia="zh-CN"/>
        </w:rPr>
        <w:t>9</w:t>
      </w:r>
      <w:r>
        <w:rPr>
          <w:rFonts w:hint="default" w:ascii="仿宋_GB2312" w:eastAsia="仿宋_GB2312" w:cs="Times New Roman" w:hAnsiTheme="minorEastAsia"/>
          <w:sz w:val="32"/>
          <w:szCs w:val="32"/>
          <w:highlight w:val="none"/>
          <w:lang w:val="en-US" w:eastAsia="zh-CN"/>
        </w:rPr>
        <w:t>01</w:t>
      </w:r>
      <w:r>
        <w:rPr>
          <w:rFonts w:hint="eastAsia" w:ascii="仿宋_GB2312" w:eastAsia="仿宋_GB2312" w:cs="Times New Roman" w:hAnsiTheme="minorEastAsia"/>
          <w:sz w:val="32"/>
          <w:szCs w:val="32"/>
          <w:highlight w:val="none"/>
          <w:lang w:val="zh-CN" w:eastAsia="zh-CN"/>
        </w:rPr>
        <w:t>号）整改情况的反馈报告</w:t>
      </w:r>
      <w:r>
        <w:rPr>
          <w:rFonts w:hint="eastAsia" w:ascii="仿宋_GB2312" w:hAnsi="宋体" w:eastAsia="仿宋_GB2312" w:cs="Times New Roman"/>
          <w:color w:val="000000"/>
          <w:sz w:val="32"/>
          <w:szCs w:val="32"/>
          <w:highlight w:val="none"/>
          <w:lang w:eastAsia="zh-CN"/>
        </w:rPr>
        <w:t>》</w:t>
      </w:r>
      <w:r>
        <w:rPr>
          <w:rFonts w:hint="eastAsia" w:ascii="仿宋_GB2312" w:hAnsi="宋体" w:eastAsia="仿宋_GB2312" w:cs="Times New Roman"/>
          <w:color w:val="000000"/>
          <w:sz w:val="32"/>
          <w:szCs w:val="32"/>
          <w:highlight w:val="none"/>
        </w:rPr>
        <w:t>（</w:t>
      </w:r>
      <w:r>
        <w:rPr>
          <w:rFonts w:hint="eastAsia" w:ascii="仿宋_GB2312" w:hAnsi="宋体" w:eastAsia="仿宋_GB2312" w:cs="Times New Roman"/>
          <w:color w:val="000000"/>
          <w:sz w:val="32"/>
          <w:szCs w:val="32"/>
          <w:highlight w:val="none"/>
          <w:lang w:eastAsia="zh-CN"/>
        </w:rPr>
        <w:t>榕东绕路工〔2019〕2</w:t>
      </w:r>
      <w:r>
        <w:rPr>
          <w:rFonts w:hint="eastAsia" w:ascii="仿宋_GB2312" w:hAnsi="宋体" w:eastAsia="仿宋_GB2312" w:cs="Times New Roman"/>
          <w:color w:val="000000"/>
          <w:sz w:val="32"/>
          <w:szCs w:val="32"/>
          <w:highlight w:val="none"/>
          <w:lang w:val="en-US" w:eastAsia="zh-CN"/>
        </w:rPr>
        <w:t>52</w:t>
      </w:r>
      <w:r>
        <w:rPr>
          <w:rFonts w:hint="eastAsia" w:ascii="仿宋_GB2312" w:hAnsi="宋体" w:eastAsia="仿宋_GB2312" w:cs="Times New Roman"/>
          <w:color w:val="000000"/>
          <w:sz w:val="32"/>
          <w:szCs w:val="32"/>
          <w:highlight w:val="none"/>
          <w:lang w:eastAsia="zh-CN"/>
        </w:rPr>
        <w:t>号</w:t>
      </w:r>
      <w:r>
        <w:rPr>
          <w:rFonts w:hint="eastAsia" w:ascii="仿宋_GB2312" w:hAnsi="宋体" w:eastAsia="仿宋_GB2312" w:cs="Times New Roman"/>
          <w:color w:val="000000"/>
          <w:sz w:val="32"/>
          <w:szCs w:val="32"/>
          <w:highlight w:val="none"/>
        </w:rPr>
        <w:t>）</w:t>
      </w:r>
      <w:r>
        <w:rPr>
          <w:rFonts w:hint="eastAsia" w:ascii="仿宋_GB2312" w:hAnsi="宋体" w:eastAsia="仿宋_GB2312" w:cs="Times New Roman"/>
          <w:sz w:val="32"/>
          <w:szCs w:val="32"/>
          <w:highlight w:val="none"/>
          <w:lang w:val="zh-CN" w:eastAsia="zh-CN"/>
        </w:rPr>
        <w:t>和</w:t>
      </w:r>
      <w:r>
        <w:rPr>
          <w:rFonts w:hint="eastAsia" w:ascii="仿宋_GB2312" w:hAnsi="宋体" w:eastAsia="仿宋_GB2312" w:cs="Times New Roman"/>
          <w:sz w:val="32"/>
          <w:szCs w:val="32"/>
          <w:highlight w:val="none"/>
          <w:lang w:val="zh-CN"/>
        </w:rPr>
        <w:t>《</w:t>
      </w:r>
      <w:r>
        <w:rPr>
          <w:rFonts w:hint="eastAsia" w:ascii="仿宋_GB2312" w:hAnsi="宋体" w:eastAsia="仿宋_GB2312" w:cs="Times New Roman"/>
          <w:color w:val="000000"/>
          <w:sz w:val="32"/>
          <w:szCs w:val="32"/>
          <w:highlight w:val="none"/>
          <w:lang w:eastAsia="zh-CN"/>
        </w:rPr>
        <w:t>福州东南绕城高速公路有限公司</w:t>
      </w:r>
      <w:r>
        <w:rPr>
          <w:rFonts w:hint="eastAsia" w:ascii="仿宋_GB2312" w:hAnsi="宋体" w:eastAsia="仿宋_GB2312" w:cs="Times New Roman"/>
          <w:sz w:val="32"/>
          <w:szCs w:val="32"/>
          <w:highlight w:val="none"/>
          <w:lang w:val="zh-CN"/>
        </w:rPr>
        <w:t>关于上报省交通质监局公路工程质量抽查意见通知书（闽交质监公[2019]FZRC0902号）整改情况的反馈报告</w:t>
      </w:r>
      <w:r>
        <w:rPr>
          <w:rFonts w:hint="eastAsia" w:ascii="仿宋_GB2312" w:hAnsi="宋体" w:eastAsia="仿宋_GB2312" w:cs="Times New Roman"/>
          <w:sz w:val="32"/>
          <w:szCs w:val="32"/>
          <w:highlight w:val="none"/>
          <w:lang w:val="zh-CN" w:eastAsia="zh-CN"/>
        </w:rPr>
        <w:t>》</w:t>
      </w:r>
      <w:r>
        <w:rPr>
          <w:rFonts w:hint="eastAsia" w:ascii="仿宋_GB2312" w:hAnsi="宋体" w:eastAsia="仿宋_GB2312" w:cs="Times New Roman"/>
          <w:sz w:val="32"/>
          <w:szCs w:val="32"/>
          <w:highlight w:val="none"/>
          <w:lang w:val="zh-CN"/>
        </w:rPr>
        <w:t>（榕东绕路工[2019]2</w:t>
      </w:r>
      <w:r>
        <w:rPr>
          <w:rFonts w:hint="eastAsia" w:ascii="仿宋_GB2312" w:hAnsi="宋体" w:eastAsia="仿宋_GB2312" w:cs="Times New Roman"/>
          <w:sz w:val="32"/>
          <w:szCs w:val="32"/>
          <w:highlight w:val="none"/>
          <w:lang w:val="en-US" w:eastAsia="zh-CN"/>
        </w:rPr>
        <w:t>64</w:t>
      </w:r>
      <w:r>
        <w:rPr>
          <w:rFonts w:hint="eastAsia" w:ascii="仿宋_GB2312" w:hAnsi="宋体" w:eastAsia="仿宋_GB2312" w:cs="Times New Roman"/>
          <w:sz w:val="32"/>
          <w:szCs w:val="32"/>
          <w:highlight w:val="none"/>
          <w:lang w:val="zh-CN"/>
        </w:rPr>
        <w:t>号）</w:t>
      </w:r>
      <w:r>
        <w:rPr>
          <w:rFonts w:hint="eastAsia" w:ascii="仿宋_GB2312" w:eastAsia="仿宋_GB2312" w:cs="Times New Roman" w:hAnsiTheme="minorEastAsia"/>
          <w:sz w:val="32"/>
          <w:szCs w:val="32"/>
          <w:highlight w:val="none"/>
          <w:lang w:val="zh-CN" w:eastAsia="zh-CN"/>
        </w:rPr>
        <w:t>报送我中心。</w:t>
      </w:r>
    </w:p>
    <w:p>
      <w:pPr>
        <w:spacing w:line="640" w:lineRule="exact"/>
        <w:ind w:firstLine="626"/>
        <w:rPr>
          <w:rFonts w:hint="eastAsia" w:ascii="仿宋_GB2312" w:eastAsia="仿宋_GB2312" w:cs="Times New Roman" w:hAnsiTheme="minorEastAsia"/>
          <w:color w:val="auto"/>
          <w:sz w:val="32"/>
          <w:szCs w:val="32"/>
          <w:highlight w:val="none"/>
          <w:lang w:val="zh-CN" w:eastAsia="zh-CN"/>
        </w:rPr>
      </w:pPr>
      <w:r>
        <w:rPr>
          <w:rFonts w:hint="eastAsia" w:ascii="仿宋_GB2312" w:eastAsia="仿宋_GB2312" w:cs="Times New Roman" w:hAnsiTheme="minorEastAsia"/>
          <w:color w:val="auto"/>
          <w:sz w:val="32"/>
          <w:szCs w:val="32"/>
          <w:highlight w:val="none"/>
          <w:lang w:val="zh-CN" w:eastAsia="zh-CN"/>
        </w:rPr>
        <w:t>验证性检测重点对交工前外观检查发现问题的整改情况进行抽查，对路基工程的涵洞和支档工程混凝土强度、桥梁工程的钢筋保护层厚度、混凝土强度、隧道工程的衬砌厚度和强度、路面工程的横向力系数和构造深度、交通安全设施的标线厚度、逆反射系数和波形梁钢护栏横梁中心高度、基底金属厚度等指标进行抽查，并将验证性检测结果与建设单位提交的交工验收前工程质量检测结果进行比对，两者结果基本吻合。</w:t>
      </w:r>
    </w:p>
    <w:p>
      <w:pPr>
        <w:spacing w:line="640" w:lineRule="exact"/>
        <w:ind w:firstLine="624"/>
        <w:rPr>
          <w:rFonts w:hint="eastAsia" w:ascii="黑体" w:hAnsi="宋体" w:eastAsia="黑体"/>
          <w:sz w:val="32"/>
          <w:szCs w:val="32"/>
        </w:rPr>
      </w:pPr>
      <w:r>
        <w:rPr>
          <w:rFonts w:hint="eastAsia" w:ascii="黑体" w:hAnsi="宋体" w:eastAsia="黑体"/>
          <w:sz w:val="32"/>
          <w:szCs w:val="32"/>
        </w:rPr>
        <w:t>七、问题与建议</w:t>
      </w:r>
    </w:p>
    <w:p>
      <w:pPr>
        <w:ind w:firstLine="640" w:firstLineChars="200"/>
        <w:rPr>
          <w:rFonts w:ascii="仿宋_GB2312" w:hAnsi="仿宋_GB2312" w:eastAsia="仿宋_GB2312" w:cs="Times New Roman"/>
          <w:sz w:val="32"/>
          <w:szCs w:val="32"/>
        </w:rPr>
      </w:pPr>
      <w:bookmarkStart w:id="0" w:name="_GoBack"/>
      <w:bookmarkEnd w:id="0"/>
      <w:r>
        <w:rPr>
          <w:rFonts w:hint="eastAsia" w:ascii="仿宋_GB2312" w:hAnsi="仿宋_GB2312" w:eastAsia="仿宋_GB2312" w:cs="仿宋_GB2312"/>
          <w:sz w:val="32"/>
          <w:szCs w:val="32"/>
        </w:rPr>
        <w:t>（一）外观检查发现的问题虽经整改，但运营期间应加强养护管理，按规范要求开展定期检查和养护。</w:t>
      </w:r>
    </w:p>
    <w:p>
      <w:pPr>
        <w:ind w:firstLine="640" w:firstLineChars="200"/>
        <w:rPr>
          <w:rFonts w:ascii="仿宋_GB2312" w:hAnsi="仿宋_GB2312" w:eastAsia="仿宋_GB2312" w:cs="Times New Roman"/>
          <w:sz w:val="32"/>
          <w:szCs w:val="32"/>
        </w:rPr>
      </w:pPr>
      <w:r>
        <w:rPr>
          <w:rFonts w:hint="eastAsia" w:ascii="仿宋_GB2312" w:hAnsi="仿宋_GB2312" w:eastAsia="仿宋_GB2312" w:cs="仿宋_GB2312"/>
          <w:sz w:val="32"/>
          <w:szCs w:val="32"/>
        </w:rPr>
        <w:t>（二）路基工程边坡的防护、排水系统应进一步检查、完善，雨季加强巡查，发现问题及时处理。</w:t>
      </w:r>
    </w:p>
    <w:p>
      <w:pPr>
        <w:ind w:firstLine="640" w:firstLineChars="200"/>
        <w:rPr>
          <w:rFonts w:ascii="仿宋_GB2312" w:hAnsi="仿宋_GB2312" w:eastAsia="仿宋_GB2312" w:cs="Times New Roman"/>
          <w:sz w:val="32"/>
          <w:szCs w:val="32"/>
        </w:rPr>
      </w:pPr>
      <w:r>
        <w:rPr>
          <w:rFonts w:hint="eastAsia" w:ascii="仿宋_GB2312" w:hAnsi="仿宋_GB2312" w:eastAsia="仿宋_GB2312" w:cs="仿宋_GB2312"/>
          <w:sz w:val="32"/>
          <w:szCs w:val="32"/>
        </w:rPr>
        <w:t>（三）加强通车运行阶段路面使用状况</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sz w:val="32"/>
          <w:szCs w:val="32"/>
        </w:rPr>
        <w:t>沿线交安设施的日常巡查和养护。</w:t>
      </w:r>
    </w:p>
    <w:p>
      <w:pPr>
        <w:ind w:firstLine="640" w:firstLineChars="200"/>
        <w:rPr>
          <w:rFonts w:ascii="仿宋_GB2312" w:hAnsi="仿宋_GB2312" w:eastAsia="仿宋_GB2312" w:cs="Times New Roman"/>
          <w:sz w:val="32"/>
          <w:szCs w:val="32"/>
        </w:rPr>
      </w:pPr>
      <w:r>
        <w:rPr>
          <w:rFonts w:hint="eastAsia" w:ascii="仿宋_GB2312" w:hAnsi="仿宋_GB2312" w:eastAsia="仿宋_GB2312" w:cs="仿宋_GB2312"/>
          <w:sz w:val="32"/>
          <w:szCs w:val="32"/>
        </w:rPr>
        <w:t>（四）质量保证资料应进一步收集、整理、完善，按照档案管理要求进行整理归类、编辑、装订；抓紧竣工图的编制，确保资料完整。</w:t>
      </w:r>
    </w:p>
    <w:p>
      <w:pPr>
        <w:pStyle w:val="2"/>
        <w:rPr>
          <w:rFonts w:hint="eastAsia"/>
          <w:lang w:val="zh-CN"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attachedTemplate r:id="rId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C61424E"/>
    <w:rsid w:val="00027841"/>
    <w:rsid w:val="0004229E"/>
    <w:rsid w:val="00045443"/>
    <w:rsid w:val="00066094"/>
    <w:rsid w:val="000A10A1"/>
    <w:rsid w:val="000C3E45"/>
    <w:rsid w:val="000D79DD"/>
    <w:rsid w:val="000F6EA2"/>
    <w:rsid w:val="001014C6"/>
    <w:rsid w:val="00105E89"/>
    <w:rsid w:val="00131F84"/>
    <w:rsid w:val="00141CF2"/>
    <w:rsid w:val="00142D74"/>
    <w:rsid w:val="00154ADD"/>
    <w:rsid w:val="00167999"/>
    <w:rsid w:val="001953E0"/>
    <w:rsid w:val="001A649A"/>
    <w:rsid w:val="001B1A4D"/>
    <w:rsid w:val="001B5D17"/>
    <w:rsid w:val="001F61FD"/>
    <w:rsid w:val="0020406D"/>
    <w:rsid w:val="00225F1C"/>
    <w:rsid w:val="00231B31"/>
    <w:rsid w:val="00235581"/>
    <w:rsid w:val="002728F9"/>
    <w:rsid w:val="0027468A"/>
    <w:rsid w:val="00286593"/>
    <w:rsid w:val="002911CC"/>
    <w:rsid w:val="002B2DF0"/>
    <w:rsid w:val="002E6CBE"/>
    <w:rsid w:val="002E7AAA"/>
    <w:rsid w:val="002F3D99"/>
    <w:rsid w:val="00310349"/>
    <w:rsid w:val="003301FE"/>
    <w:rsid w:val="0035104F"/>
    <w:rsid w:val="0036615E"/>
    <w:rsid w:val="00376B1A"/>
    <w:rsid w:val="00377CFA"/>
    <w:rsid w:val="003A2AED"/>
    <w:rsid w:val="003B0306"/>
    <w:rsid w:val="003E49FD"/>
    <w:rsid w:val="003E5633"/>
    <w:rsid w:val="003E7139"/>
    <w:rsid w:val="003F6808"/>
    <w:rsid w:val="00417CE1"/>
    <w:rsid w:val="004407EF"/>
    <w:rsid w:val="004425C7"/>
    <w:rsid w:val="00462F9B"/>
    <w:rsid w:val="00470F68"/>
    <w:rsid w:val="004777FA"/>
    <w:rsid w:val="004909C5"/>
    <w:rsid w:val="004F3797"/>
    <w:rsid w:val="00500017"/>
    <w:rsid w:val="00506CE7"/>
    <w:rsid w:val="00512B91"/>
    <w:rsid w:val="00512ED0"/>
    <w:rsid w:val="00514D5A"/>
    <w:rsid w:val="005204CE"/>
    <w:rsid w:val="0052587D"/>
    <w:rsid w:val="00556B4F"/>
    <w:rsid w:val="0057343C"/>
    <w:rsid w:val="005853C0"/>
    <w:rsid w:val="005B1394"/>
    <w:rsid w:val="005B3291"/>
    <w:rsid w:val="005C05BD"/>
    <w:rsid w:val="005E2F74"/>
    <w:rsid w:val="005F1CA6"/>
    <w:rsid w:val="005F2C35"/>
    <w:rsid w:val="006137E3"/>
    <w:rsid w:val="006538BC"/>
    <w:rsid w:val="0065517E"/>
    <w:rsid w:val="006A10CA"/>
    <w:rsid w:val="006A6CE3"/>
    <w:rsid w:val="006C0874"/>
    <w:rsid w:val="006C3D01"/>
    <w:rsid w:val="006C459A"/>
    <w:rsid w:val="006C7D2D"/>
    <w:rsid w:val="006D0252"/>
    <w:rsid w:val="006D4A13"/>
    <w:rsid w:val="006F2715"/>
    <w:rsid w:val="00702906"/>
    <w:rsid w:val="00710B6D"/>
    <w:rsid w:val="007114CC"/>
    <w:rsid w:val="007132A5"/>
    <w:rsid w:val="00723A4F"/>
    <w:rsid w:val="007260F5"/>
    <w:rsid w:val="00736A62"/>
    <w:rsid w:val="00745AD8"/>
    <w:rsid w:val="00750A0E"/>
    <w:rsid w:val="007618A7"/>
    <w:rsid w:val="0078111D"/>
    <w:rsid w:val="00795782"/>
    <w:rsid w:val="007C3747"/>
    <w:rsid w:val="007C5D5C"/>
    <w:rsid w:val="007D5E4D"/>
    <w:rsid w:val="007E38DD"/>
    <w:rsid w:val="007F7818"/>
    <w:rsid w:val="0082137C"/>
    <w:rsid w:val="008224FC"/>
    <w:rsid w:val="0083121F"/>
    <w:rsid w:val="00851B38"/>
    <w:rsid w:val="00853979"/>
    <w:rsid w:val="00856DB7"/>
    <w:rsid w:val="00893670"/>
    <w:rsid w:val="008A4298"/>
    <w:rsid w:val="008D74BA"/>
    <w:rsid w:val="009008B8"/>
    <w:rsid w:val="00901FAD"/>
    <w:rsid w:val="0090501B"/>
    <w:rsid w:val="0091554E"/>
    <w:rsid w:val="00920DC6"/>
    <w:rsid w:val="009928AA"/>
    <w:rsid w:val="0099506F"/>
    <w:rsid w:val="009D561E"/>
    <w:rsid w:val="009F7C27"/>
    <w:rsid w:val="00A03E0D"/>
    <w:rsid w:val="00A110B7"/>
    <w:rsid w:val="00A25881"/>
    <w:rsid w:val="00A2628E"/>
    <w:rsid w:val="00A47E86"/>
    <w:rsid w:val="00A573A6"/>
    <w:rsid w:val="00A7129E"/>
    <w:rsid w:val="00A75382"/>
    <w:rsid w:val="00A7547F"/>
    <w:rsid w:val="00A76160"/>
    <w:rsid w:val="00A800D1"/>
    <w:rsid w:val="00A82BBD"/>
    <w:rsid w:val="00A90440"/>
    <w:rsid w:val="00AB0628"/>
    <w:rsid w:val="00B50EAD"/>
    <w:rsid w:val="00B603AF"/>
    <w:rsid w:val="00BB3E31"/>
    <w:rsid w:val="00BE776F"/>
    <w:rsid w:val="00BE7A5A"/>
    <w:rsid w:val="00C01ADD"/>
    <w:rsid w:val="00C305C1"/>
    <w:rsid w:val="00C4150C"/>
    <w:rsid w:val="00C729F0"/>
    <w:rsid w:val="00C8429D"/>
    <w:rsid w:val="00C9654A"/>
    <w:rsid w:val="00CA20EC"/>
    <w:rsid w:val="00CA7BA2"/>
    <w:rsid w:val="00CE67D4"/>
    <w:rsid w:val="00CF6B6C"/>
    <w:rsid w:val="00D06224"/>
    <w:rsid w:val="00D06C4F"/>
    <w:rsid w:val="00D10ED4"/>
    <w:rsid w:val="00D20A4D"/>
    <w:rsid w:val="00D2158F"/>
    <w:rsid w:val="00D259AA"/>
    <w:rsid w:val="00D25C9D"/>
    <w:rsid w:val="00D26C1A"/>
    <w:rsid w:val="00D270EB"/>
    <w:rsid w:val="00D3055A"/>
    <w:rsid w:val="00D57C72"/>
    <w:rsid w:val="00D76F47"/>
    <w:rsid w:val="00D9525A"/>
    <w:rsid w:val="00D963D6"/>
    <w:rsid w:val="00DB3D4A"/>
    <w:rsid w:val="00DB48FF"/>
    <w:rsid w:val="00DE4E32"/>
    <w:rsid w:val="00DF200C"/>
    <w:rsid w:val="00E31EBD"/>
    <w:rsid w:val="00E36549"/>
    <w:rsid w:val="00E42003"/>
    <w:rsid w:val="00E52F20"/>
    <w:rsid w:val="00E664DE"/>
    <w:rsid w:val="00E96A52"/>
    <w:rsid w:val="00EA0549"/>
    <w:rsid w:val="00EA41C3"/>
    <w:rsid w:val="00EA79A4"/>
    <w:rsid w:val="00EE3459"/>
    <w:rsid w:val="00EF6360"/>
    <w:rsid w:val="00F178D9"/>
    <w:rsid w:val="00F27766"/>
    <w:rsid w:val="00F34BD6"/>
    <w:rsid w:val="00F40EBA"/>
    <w:rsid w:val="00F45B13"/>
    <w:rsid w:val="00F81457"/>
    <w:rsid w:val="00FA4540"/>
    <w:rsid w:val="00FB14DD"/>
    <w:rsid w:val="00FD3945"/>
    <w:rsid w:val="00FF68B1"/>
    <w:rsid w:val="01AF5DA6"/>
    <w:rsid w:val="02A62944"/>
    <w:rsid w:val="032F42FE"/>
    <w:rsid w:val="03EF05AE"/>
    <w:rsid w:val="046F6077"/>
    <w:rsid w:val="051F38A7"/>
    <w:rsid w:val="06B56DA2"/>
    <w:rsid w:val="07BF143B"/>
    <w:rsid w:val="089F30B8"/>
    <w:rsid w:val="08FF6179"/>
    <w:rsid w:val="0AA547C5"/>
    <w:rsid w:val="0BE57AC5"/>
    <w:rsid w:val="0BF664DB"/>
    <w:rsid w:val="0C110C48"/>
    <w:rsid w:val="0C3169FF"/>
    <w:rsid w:val="0CD565EB"/>
    <w:rsid w:val="0CDB7141"/>
    <w:rsid w:val="0DD275FC"/>
    <w:rsid w:val="0FD31A21"/>
    <w:rsid w:val="11C60D0B"/>
    <w:rsid w:val="12825C51"/>
    <w:rsid w:val="1291192C"/>
    <w:rsid w:val="12A01871"/>
    <w:rsid w:val="12A9077D"/>
    <w:rsid w:val="14160597"/>
    <w:rsid w:val="14A61557"/>
    <w:rsid w:val="14C4367F"/>
    <w:rsid w:val="158D4627"/>
    <w:rsid w:val="15B543AE"/>
    <w:rsid w:val="1614345C"/>
    <w:rsid w:val="165D03E0"/>
    <w:rsid w:val="173025A2"/>
    <w:rsid w:val="19AC26FB"/>
    <w:rsid w:val="19F05EB1"/>
    <w:rsid w:val="1C193CC0"/>
    <w:rsid w:val="1C2366BB"/>
    <w:rsid w:val="1C61424E"/>
    <w:rsid w:val="1D86367A"/>
    <w:rsid w:val="1DF067DE"/>
    <w:rsid w:val="1E0B7206"/>
    <w:rsid w:val="22663775"/>
    <w:rsid w:val="23744B72"/>
    <w:rsid w:val="23885A65"/>
    <w:rsid w:val="23FC31FE"/>
    <w:rsid w:val="250C4B1E"/>
    <w:rsid w:val="271420DA"/>
    <w:rsid w:val="27EB7343"/>
    <w:rsid w:val="28507E5F"/>
    <w:rsid w:val="29852EB5"/>
    <w:rsid w:val="29936E44"/>
    <w:rsid w:val="2C201A48"/>
    <w:rsid w:val="2DD460A6"/>
    <w:rsid w:val="2DDD7982"/>
    <w:rsid w:val="2F9F6926"/>
    <w:rsid w:val="2FBC3065"/>
    <w:rsid w:val="30F5353D"/>
    <w:rsid w:val="327504A7"/>
    <w:rsid w:val="328E05A9"/>
    <w:rsid w:val="3369153E"/>
    <w:rsid w:val="33AF5915"/>
    <w:rsid w:val="354A0F3D"/>
    <w:rsid w:val="358C5EF0"/>
    <w:rsid w:val="362E3916"/>
    <w:rsid w:val="367E6416"/>
    <w:rsid w:val="37D848AC"/>
    <w:rsid w:val="387A6F2F"/>
    <w:rsid w:val="398D25A9"/>
    <w:rsid w:val="3A1C5CA9"/>
    <w:rsid w:val="3A6327F4"/>
    <w:rsid w:val="3C2F0A0E"/>
    <w:rsid w:val="3C9B1D43"/>
    <w:rsid w:val="3D074B19"/>
    <w:rsid w:val="3D207A14"/>
    <w:rsid w:val="3ECA217B"/>
    <w:rsid w:val="3EF0056A"/>
    <w:rsid w:val="3EFC4AAE"/>
    <w:rsid w:val="3FC133BB"/>
    <w:rsid w:val="40F9355B"/>
    <w:rsid w:val="41A02242"/>
    <w:rsid w:val="41A1015E"/>
    <w:rsid w:val="42383E49"/>
    <w:rsid w:val="43DC43F6"/>
    <w:rsid w:val="44310D4F"/>
    <w:rsid w:val="44592C98"/>
    <w:rsid w:val="450F553B"/>
    <w:rsid w:val="4726353B"/>
    <w:rsid w:val="478119B4"/>
    <w:rsid w:val="47906B8B"/>
    <w:rsid w:val="49810C7F"/>
    <w:rsid w:val="49E837F7"/>
    <w:rsid w:val="4A4D2ED9"/>
    <w:rsid w:val="4A961DFC"/>
    <w:rsid w:val="4B396852"/>
    <w:rsid w:val="4EB541D2"/>
    <w:rsid w:val="4EB74E67"/>
    <w:rsid w:val="4F3A4B27"/>
    <w:rsid w:val="50037826"/>
    <w:rsid w:val="51A33CC5"/>
    <w:rsid w:val="51F52D66"/>
    <w:rsid w:val="52F856A4"/>
    <w:rsid w:val="53356D7D"/>
    <w:rsid w:val="539B3425"/>
    <w:rsid w:val="545F63F0"/>
    <w:rsid w:val="54C25A77"/>
    <w:rsid w:val="555645AA"/>
    <w:rsid w:val="55831180"/>
    <w:rsid w:val="55D2049B"/>
    <w:rsid w:val="56246CBA"/>
    <w:rsid w:val="581E772E"/>
    <w:rsid w:val="58A74F21"/>
    <w:rsid w:val="59430F78"/>
    <w:rsid w:val="5A3D7B7A"/>
    <w:rsid w:val="5C8C18C1"/>
    <w:rsid w:val="5CC226B9"/>
    <w:rsid w:val="5CE2123C"/>
    <w:rsid w:val="5EB660E5"/>
    <w:rsid w:val="5EC24B27"/>
    <w:rsid w:val="5F54140D"/>
    <w:rsid w:val="60974A90"/>
    <w:rsid w:val="60B9798B"/>
    <w:rsid w:val="60D63169"/>
    <w:rsid w:val="617E228C"/>
    <w:rsid w:val="61C15C3C"/>
    <w:rsid w:val="61F36B9C"/>
    <w:rsid w:val="644050C8"/>
    <w:rsid w:val="64610811"/>
    <w:rsid w:val="66F23B0B"/>
    <w:rsid w:val="675A5CEC"/>
    <w:rsid w:val="67CD6BD1"/>
    <w:rsid w:val="694964B9"/>
    <w:rsid w:val="695D58FC"/>
    <w:rsid w:val="697D0991"/>
    <w:rsid w:val="69C14145"/>
    <w:rsid w:val="69CA7ED0"/>
    <w:rsid w:val="69F578BA"/>
    <w:rsid w:val="6A6843AE"/>
    <w:rsid w:val="6AC93F5B"/>
    <w:rsid w:val="6AD74E43"/>
    <w:rsid w:val="6C6209A2"/>
    <w:rsid w:val="6D535020"/>
    <w:rsid w:val="6D9319E8"/>
    <w:rsid w:val="6E796D63"/>
    <w:rsid w:val="6EBD6D41"/>
    <w:rsid w:val="6ED174C9"/>
    <w:rsid w:val="6FBD1803"/>
    <w:rsid w:val="70A87A81"/>
    <w:rsid w:val="73B05A16"/>
    <w:rsid w:val="7518257B"/>
    <w:rsid w:val="75B66395"/>
    <w:rsid w:val="75DB3337"/>
    <w:rsid w:val="77133C27"/>
    <w:rsid w:val="77184CA2"/>
    <w:rsid w:val="77DC2447"/>
    <w:rsid w:val="78214C91"/>
    <w:rsid w:val="78927493"/>
    <w:rsid w:val="7AA8440D"/>
    <w:rsid w:val="7C200C77"/>
    <w:rsid w:val="7C4D5783"/>
    <w:rsid w:val="7C5E2D56"/>
    <w:rsid w:val="7C9D6113"/>
    <w:rsid w:val="7DB44698"/>
    <w:rsid w:val="7EE8396F"/>
    <w:rsid w:val="7FA54BE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3"/>
    <w:basedOn w:val="1"/>
    <w:next w:val="1"/>
    <w:qFormat/>
    <w:uiPriority w:val="0"/>
    <w:pPr>
      <w:spacing w:before="100" w:beforeAutospacing="1" w:after="100" w:afterAutospacing="1"/>
      <w:jc w:val="left"/>
      <w:outlineLvl w:val="2"/>
    </w:pPr>
    <w:rPr>
      <w:rFonts w:hint="eastAsia" w:ascii="宋体" w:hAnsi="宋体"/>
      <w:b/>
      <w:kern w:val="0"/>
      <w:sz w:val="27"/>
      <w:szCs w:val="27"/>
    </w:rPr>
  </w:style>
  <w:style w:type="character" w:default="1" w:styleId="8">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next w:val="1"/>
    <w:unhideWhenUsed/>
    <w:qFormat/>
    <w:uiPriority w:val="99"/>
    <w:pPr>
      <w:ind w:firstLine="420"/>
    </w:pPr>
    <w:rPr>
      <w:szCs w:val="20"/>
    </w:rPr>
  </w:style>
  <w:style w:type="paragraph" w:styleId="4">
    <w:name w:val="Body Text"/>
    <w:basedOn w:val="1"/>
    <w:qFormat/>
    <w:uiPriority w:val="0"/>
    <w:rPr>
      <w:sz w:val="28"/>
    </w:rPr>
  </w:style>
  <w:style w:type="paragraph" w:styleId="5">
    <w:name w:val="footer"/>
    <w:basedOn w:val="1"/>
    <w:link w:val="12"/>
    <w:qFormat/>
    <w:uiPriority w:val="0"/>
    <w:pPr>
      <w:tabs>
        <w:tab w:val="center" w:pos="4153"/>
        <w:tab w:val="right" w:pos="8306"/>
      </w:tabs>
      <w:snapToGrid w:val="0"/>
      <w:jc w:val="left"/>
    </w:pPr>
    <w:rPr>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100" w:beforeAutospacing="1" w:after="100" w:afterAutospacing="1"/>
      <w:jc w:val="left"/>
    </w:pPr>
    <w:rPr>
      <w:kern w:val="0"/>
      <w:sz w:val="24"/>
    </w:rPr>
  </w:style>
  <w:style w:type="character" w:styleId="9">
    <w:name w:val="Hyperlink"/>
    <w:basedOn w:val="8"/>
    <w:qFormat/>
    <w:uiPriority w:val="0"/>
    <w:rPr>
      <w:color w:val="0000FF"/>
      <w:u w:val="single"/>
    </w:rPr>
  </w:style>
  <w:style w:type="character" w:customStyle="1" w:styleId="11">
    <w:name w:val="页眉 Char"/>
    <w:basedOn w:val="8"/>
    <w:link w:val="6"/>
    <w:qFormat/>
    <w:uiPriority w:val="0"/>
    <w:rPr>
      <w:rFonts w:ascii="Calibri" w:hAnsi="Calibri"/>
      <w:kern w:val="2"/>
      <w:sz w:val="18"/>
      <w:szCs w:val="18"/>
    </w:rPr>
  </w:style>
  <w:style w:type="character" w:customStyle="1" w:styleId="12">
    <w:name w:val="页脚 Char"/>
    <w:basedOn w:val="8"/>
    <w:link w:val="5"/>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ou\AppData\Roaming\Kingsoft\wps\addons\pool\win-i386\knewfileruby_1.0.0.10\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微软中国</Company>
  <Pages>6</Pages>
  <Words>365</Words>
  <Characters>2086</Characters>
  <Lines>17</Lines>
  <Paragraphs>4</Paragraphs>
  <TotalTime>1</TotalTime>
  <ScaleCrop>false</ScaleCrop>
  <LinksUpToDate>false</LinksUpToDate>
  <CharactersWithSpaces>2447</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2018-11-12T03:00:00Z</dcterms:created>
  <dc:creator>zhou</dc:creator>
  <cp:lastModifiedBy>林同钦</cp:lastModifiedBy>
  <cp:lastPrinted>2019-01-21T23:57:00Z</cp:lastPrinted>
  <dcterms:modified xsi:type="dcterms:W3CDTF">2019-09-25T10:05:11Z</dcterms:modified>
  <cp:revision>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