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left="0" w:leftChars="0" w:firstLine="0" w:firstLineChars="0"/>
        <w:rPr>
          <w:rFonts w:hint="eastAsia" w:ascii="方正小标宋简体" w:hAnsi="宋体" w:eastAsia="方正小标宋简体" w:cs="宋体"/>
          <w:bCs/>
          <w:szCs w:val="32"/>
        </w:rPr>
      </w:pPr>
      <w:r>
        <w:rPr>
          <w:rFonts w:hint="eastAsia" w:ascii="黑体" w:hAnsi="宋体" w:eastAsia="黑体" w:cs="宋体"/>
          <w:bCs/>
          <w:szCs w:val="32"/>
        </w:rPr>
        <w:t>附件:</w:t>
      </w:r>
    </w:p>
    <w:p>
      <w:pPr>
        <w:pStyle w:val="2"/>
        <w:spacing w:line="0" w:lineRule="atLeast"/>
        <w:ind w:left="0" w:leftChars="0" w:firstLine="0" w:firstLineChars="0"/>
        <w:jc w:val="center"/>
        <w:rPr>
          <w:rFonts w:hint="eastAsia" w:ascii="方正小标宋简体" w:eastAsia="方正小标宋简体"/>
          <w:bCs/>
          <w:sz w:val="44"/>
          <w:szCs w:val="44"/>
        </w:rPr>
      </w:pPr>
      <w:r>
        <w:rPr>
          <w:rFonts w:hint="eastAsia" w:ascii="方正小标宋简体" w:hAnsi="宋体" w:eastAsia="方正小标宋简体" w:cs="宋体"/>
          <w:bCs/>
          <w:sz w:val="44"/>
          <w:szCs w:val="44"/>
        </w:rPr>
        <w:t>福建省交通质监局</w:t>
      </w:r>
    </w:p>
    <w:p>
      <w:pPr>
        <w:spacing w:line="0" w:lineRule="atLeast"/>
        <w:ind w:firstLine="0" w:firstLineChars="0"/>
        <w:jc w:val="center"/>
        <w:outlineLvl w:val="0"/>
        <w:rPr>
          <w:rFonts w:hint="eastAsia" w:ascii="方正小标宋简体" w:eastAsia="方正小标宋简体"/>
          <w:bCs/>
          <w:caps/>
          <w:sz w:val="44"/>
          <w:szCs w:val="44"/>
        </w:rPr>
      </w:pPr>
      <w:r>
        <w:rPr>
          <w:rFonts w:hint="eastAsia" w:ascii="方正小标宋简体" w:hAnsi="宋体" w:eastAsia="方正小标宋简体" w:cs="宋体"/>
          <w:bCs/>
          <w:caps/>
          <w:sz w:val="44"/>
          <w:szCs w:val="44"/>
        </w:rPr>
        <w:t>201</w:t>
      </w:r>
      <w:r>
        <w:rPr>
          <w:rFonts w:hint="eastAsia" w:ascii="方正小标宋简体" w:hAnsi="宋体" w:eastAsia="方正小标宋简体" w:cs="宋体"/>
          <w:bCs/>
          <w:caps/>
          <w:sz w:val="44"/>
          <w:szCs w:val="44"/>
          <w:lang w:val="en-US" w:eastAsia="zh-CN"/>
        </w:rPr>
        <w:t>9</w:t>
      </w:r>
      <w:r>
        <w:rPr>
          <w:rFonts w:hint="eastAsia" w:ascii="方正小标宋简体" w:hAnsi="宋体" w:eastAsia="方正小标宋简体" w:cs="宋体"/>
          <w:bCs/>
          <w:caps/>
          <w:sz w:val="44"/>
          <w:szCs w:val="44"/>
        </w:rPr>
        <w:t>年“安全生产月”活动方案</w:t>
      </w:r>
    </w:p>
    <w:p>
      <w:pPr>
        <w:ind w:firstLine="624"/>
        <w:rPr>
          <w:rFonts w:ascii="仿宋_GB2312"/>
        </w:rPr>
      </w:pPr>
    </w:p>
    <w:p>
      <w:pPr>
        <w:spacing w:line="580" w:lineRule="exact"/>
        <w:ind w:firstLine="624"/>
        <w:rPr>
          <w:rFonts w:ascii="仿宋_GB2312"/>
          <w:szCs w:val="32"/>
        </w:rPr>
      </w:pPr>
      <w:r>
        <w:rPr>
          <w:rFonts w:hint="eastAsia" w:ascii="仿宋_GB2312" w:cs="仿宋_GB2312"/>
          <w:szCs w:val="32"/>
        </w:rPr>
        <w:t>为贯彻落实</w:t>
      </w:r>
      <w:r>
        <w:rPr>
          <w:rFonts w:hint="eastAsia" w:ascii="仿宋_GB2312" w:hAnsi="仿宋_GB2312" w:eastAsia="仿宋_GB2312" w:cs="仿宋_GB2312"/>
        </w:rPr>
        <w:t>习近平新时代中国特色社会主义思想和党中央国务院关于安全生产工作的决策部署</w:t>
      </w:r>
      <w:r>
        <w:rPr>
          <w:rFonts w:hint="eastAsia" w:ascii="仿宋_GB2312" w:hAnsi="仿宋_GB2312" w:cs="仿宋_GB2312"/>
          <w:lang w:eastAsia="zh-CN"/>
        </w:rPr>
        <w:t>，</w:t>
      </w:r>
      <w:r>
        <w:rPr>
          <w:rFonts w:hint="eastAsia" w:ascii="仿宋_GB2312" w:cs="仿宋_GB2312"/>
          <w:szCs w:val="32"/>
        </w:rPr>
        <w:t>根据</w:t>
      </w:r>
      <w:r>
        <w:rPr>
          <w:rFonts w:hint="eastAsia" w:ascii="仿宋_GB2312"/>
          <w:szCs w:val="32"/>
        </w:rPr>
        <w:t>《</w:t>
      </w:r>
      <w:r>
        <w:rPr>
          <w:rFonts w:hint="eastAsia" w:ascii="仿宋_GB2312"/>
          <w:szCs w:val="32"/>
          <w:lang w:val="en-US" w:eastAsia="zh-CN"/>
        </w:rPr>
        <w:t>福建省交通运输厅关于开展2019年“安全生产月”活动的通知</w:t>
      </w:r>
      <w:r>
        <w:rPr>
          <w:rFonts w:hint="eastAsia" w:ascii="仿宋_GB2312"/>
          <w:szCs w:val="32"/>
        </w:rPr>
        <w:t>》（</w:t>
      </w:r>
      <w:r>
        <w:rPr>
          <w:rFonts w:hint="eastAsia" w:ascii="仿宋_GB2312" w:eastAsia="仿宋_GB2312"/>
          <w:kern w:val="2"/>
          <w:sz w:val="32"/>
          <w:szCs w:val="24"/>
          <w:lang w:val="en-US" w:eastAsia="zh-CN" w:bidi="ar-SA"/>
        </w:rPr>
        <w:t>闽交安明电〔2019〕16号</w:t>
      </w:r>
      <w:r>
        <w:rPr>
          <w:rFonts w:hint="eastAsia" w:ascii="仿宋_GB2312"/>
          <w:szCs w:val="32"/>
        </w:rPr>
        <w:t>）</w:t>
      </w:r>
      <w:r>
        <w:rPr>
          <w:rFonts w:hint="eastAsia" w:ascii="仿宋_GB2312" w:cs="仿宋_GB2312"/>
          <w:szCs w:val="32"/>
        </w:rPr>
        <w:t>要求，制定活动方案如下：</w:t>
      </w:r>
    </w:p>
    <w:p>
      <w:pPr>
        <w:spacing w:line="580" w:lineRule="exact"/>
        <w:ind w:firstLine="624"/>
        <w:rPr>
          <w:rFonts w:hint="eastAsia" w:ascii="黑体" w:eastAsia="黑体"/>
          <w:bCs/>
          <w:szCs w:val="32"/>
        </w:rPr>
      </w:pPr>
      <w:r>
        <w:rPr>
          <w:rFonts w:hint="eastAsia" w:ascii="黑体" w:eastAsia="黑体" w:cs="仿宋_GB2312"/>
          <w:bCs/>
          <w:szCs w:val="32"/>
        </w:rPr>
        <w:t>一、指导思想</w:t>
      </w:r>
    </w:p>
    <w:p>
      <w:pPr>
        <w:spacing w:line="580" w:lineRule="exact"/>
        <w:ind w:firstLine="624"/>
        <w:rPr>
          <w:rFonts w:hint="eastAsia" w:ascii="仿宋_GB2312" w:cs="仿宋_GB2312"/>
          <w:szCs w:val="32"/>
        </w:rPr>
      </w:pPr>
      <w:r>
        <w:rPr>
          <w:rFonts w:hint="eastAsia" w:ascii="仿宋_GB2312" w:hAnsi="仿宋_GB2312" w:cs="仿宋_GB2312"/>
          <w:lang w:eastAsia="zh-CN"/>
        </w:rPr>
        <w:t>以习近平新时代中国特色社会主义思想为指导，深刻领会习近平总书记、李克强总理关于安全生产工作的重要批示指示精神，以“平安工地”建设达标考核为载体，开展公路水运工程建设安全生产隐患排查治理等专项行动，</w:t>
      </w:r>
      <w:r>
        <w:rPr>
          <w:rFonts w:hint="eastAsia" w:ascii="仿宋_GB2312" w:cs="仿宋_GB2312"/>
          <w:szCs w:val="32"/>
        </w:rPr>
        <w:t>推动安全生产主体责任落实，有效防范和坚决遏制重特大事故发生，营造稳定的安全生产环境。进一步加强安全生产宣传教育工作力度，开展形式多样、社会广泛参与的宣传教育活动，推动安全生产法律法规、技术标准宣贯实施，促进全省交通建设工程安全生产形势持续稳定向好。</w:t>
      </w:r>
    </w:p>
    <w:p>
      <w:pPr>
        <w:spacing w:line="580" w:lineRule="exact"/>
        <w:ind w:firstLine="624"/>
        <w:rPr>
          <w:rFonts w:hint="eastAsia" w:ascii="黑体" w:eastAsia="黑体"/>
          <w:bCs/>
          <w:szCs w:val="32"/>
        </w:rPr>
      </w:pPr>
      <w:r>
        <w:rPr>
          <w:rFonts w:hint="eastAsia" w:ascii="黑体" w:eastAsia="黑体" w:cs="仿宋_GB2312"/>
          <w:bCs/>
          <w:szCs w:val="32"/>
        </w:rPr>
        <w:t>二、活动主题、时间</w:t>
      </w:r>
    </w:p>
    <w:p>
      <w:pPr>
        <w:spacing w:line="580" w:lineRule="exact"/>
        <w:ind w:firstLine="624"/>
        <w:rPr>
          <w:rFonts w:ascii="仿宋_GB2312"/>
          <w:szCs w:val="32"/>
        </w:rPr>
      </w:pPr>
      <w:r>
        <w:rPr>
          <w:rFonts w:hint="eastAsia" w:ascii="仿宋_GB2312" w:cs="仿宋_GB2312"/>
          <w:szCs w:val="32"/>
        </w:rPr>
        <w:t>活动主题：</w:t>
      </w:r>
      <w:r>
        <w:rPr>
          <w:rFonts w:hint="eastAsia" w:ascii="仿宋_GB2312" w:hAnsi="仿宋_GB2312" w:eastAsia="仿宋_GB2312" w:cs="仿宋_GB2312"/>
        </w:rPr>
        <w:t>防风险、除隐患、遏事故</w:t>
      </w:r>
      <w:r>
        <w:rPr>
          <w:rFonts w:hint="eastAsia" w:ascii="仿宋_GB2312" w:hAnsi="仿宋_GB2312" w:eastAsia="仿宋_GB2312" w:cs="仿宋_GB2312"/>
          <w:lang w:eastAsia="zh-CN"/>
        </w:rPr>
        <w:t>。</w:t>
      </w:r>
    </w:p>
    <w:p>
      <w:pPr>
        <w:spacing w:line="580" w:lineRule="exact"/>
        <w:ind w:firstLine="624"/>
        <w:rPr>
          <w:rFonts w:ascii="仿宋_GB2312"/>
          <w:szCs w:val="32"/>
        </w:rPr>
      </w:pPr>
      <w:r>
        <w:rPr>
          <w:rFonts w:hint="eastAsia" w:ascii="仿宋_GB2312" w:cs="仿宋_GB2312"/>
          <w:szCs w:val="32"/>
        </w:rPr>
        <w:t>活动时间：</w:t>
      </w:r>
      <w:r>
        <w:rPr>
          <w:rFonts w:ascii="仿宋_GB2312" w:cs="仿宋_GB2312"/>
          <w:szCs w:val="32"/>
        </w:rPr>
        <w:t>6</w:t>
      </w:r>
      <w:r>
        <w:rPr>
          <w:rFonts w:hint="eastAsia" w:ascii="仿宋_GB2312" w:cs="仿宋_GB2312"/>
          <w:szCs w:val="32"/>
        </w:rPr>
        <w:t>月</w:t>
      </w:r>
      <w:r>
        <w:rPr>
          <w:rFonts w:ascii="仿宋_GB2312" w:cs="仿宋_GB2312"/>
          <w:szCs w:val="32"/>
        </w:rPr>
        <w:t>1</w:t>
      </w:r>
      <w:r>
        <w:rPr>
          <w:rFonts w:hint="eastAsia" w:ascii="仿宋_GB2312" w:cs="仿宋_GB2312"/>
          <w:szCs w:val="32"/>
        </w:rPr>
        <w:t>－</w:t>
      </w:r>
      <w:r>
        <w:rPr>
          <w:rFonts w:ascii="仿宋_GB2312" w:cs="仿宋_GB2312"/>
          <w:szCs w:val="32"/>
        </w:rPr>
        <w:t>30</w:t>
      </w:r>
      <w:r>
        <w:rPr>
          <w:rFonts w:hint="eastAsia" w:ascii="仿宋_GB2312" w:cs="仿宋_GB2312"/>
          <w:szCs w:val="32"/>
        </w:rPr>
        <w:t>日；其中</w:t>
      </w:r>
      <w:r>
        <w:rPr>
          <w:rFonts w:hint="eastAsia" w:ascii="仿宋_GB2312" w:hAnsi="仿宋" w:cs="仿宋"/>
          <w:color w:val="000000"/>
          <w:szCs w:val="32"/>
        </w:rPr>
        <w:t>安全宣传咨询日</w:t>
      </w:r>
      <w:r>
        <w:rPr>
          <w:rFonts w:hint="eastAsia" w:ascii="仿宋_GB2312" w:cs="仿宋_GB2312"/>
          <w:szCs w:val="32"/>
        </w:rPr>
        <w:t>活动定于</w:t>
      </w:r>
      <w:r>
        <w:rPr>
          <w:rFonts w:ascii="仿宋_GB2312" w:cs="仿宋_GB2312"/>
          <w:szCs w:val="32"/>
        </w:rPr>
        <w:t>6</w:t>
      </w:r>
      <w:r>
        <w:rPr>
          <w:rFonts w:hint="eastAsia" w:ascii="仿宋_GB2312" w:cs="仿宋_GB2312"/>
          <w:szCs w:val="32"/>
        </w:rPr>
        <w:t>月</w:t>
      </w:r>
      <w:r>
        <w:rPr>
          <w:rFonts w:ascii="仿宋_GB2312" w:cs="仿宋_GB2312"/>
          <w:szCs w:val="32"/>
        </w:rPr>
        <w:t>16</w:t>
      </w:r>
      <w:r>
        <w:rPr>
          <w:rFonts w:hint="eastAsia" w:ascii="仿宋_GB2312" w:cs="仿宋_GB2312"/>
          <w:szCs w:val="32"/>
        </w:rPr>
        <w:t>日同步开展。</w:t>
      </w:r>
    </w:p>
    <w:p>
      <w:pPr>
        <w:spacing w:line="580" w:lineRule="exact"/>
        <w:ind w:firstLine="624"/>
        <w:rPr>
          <w:rFonts w:hint="eastAsia" w:ascii="黑体" w:eastAsia="黑体"/>
          <w:szCs w:val="32"/>
        </w:rPr>
      </w:pPr>
      <w:r>
        <w:rPr>
          <w:rFonts w:hint="eastAsia" w:ascii="黑体" w:eastAsia="黑体" w:cs="仿宋_GB2312"/>
          <w:bCs/>
          <w:szCs w:val="32"/>
        </w:rPr>
        <w:t>三、活动内容</w:t>
      </w:r>
    </w:p>
    <w:p>
      <w:pPr>
        <w:numPr>
          <w:ilvl w:val="0"/>
          <w:numId w:val="1"/>
        </w:numPr>
        <w:spacing w:line="640" w:lineRule="exact"/>
        <w:ind w:firstLine="624" w:firstLineChars="200"/>
        <w:rPr>
          <w:rFonts w:hint="eastAsia" w:ascii="仿宋_GB2312" w:hAnsi="仿宋_GB2312" w:eastAsia="仿宋_GB2312" w:cs="仿宋_GB2312"/>
        </w:rPr>
      </w:pPr>
      <w:r>
        <w:rPr>
          <w:rFonts w:hint="eastAsia" w:ascii="仿宋_GB2312" w:hAnsi="仿宋_GB2312" w:eastAsia="仿宋_GB2312" w:cs="仿宋_GB2312"/>
        </w:rPr>
        <w:t>认真组织主题宣讲。一</w:t>
      </w:r>
      <w:r>
        <w:rPr>
          <w:rFonts w:hint="eastAsia" w:ascii="仿宋_GB2312" w:hAnsi="仿宋_GB2312" w:eastAsia="仿宋_GB2312" w:cs="仿宋_GB2312"/>
          <w:lang w:eastAsia="zh-CN"/>
        </w:rPr>
        <w:t>是</w:t>
      </w:r>
      <w:r>
        <w:rPr>
          <w:rFonts w:hint="eastAsia" w:ascii="仿宋_GB2312" w:hAnsi="仿宋_GB2312" w:eastAsia="仿宋_GB2312" w:cs="仿宋_GB2312"/>
          <w:color w:val="000000"/>
          <w:szCs w:val="32"/>
        </w:rPr>
        <w:t>各部门、各单位</w:t>
      </w:r>
      <w:r>
        <w:rPr>
          <w:rFonts w:hint="eastAsia" w:ascii="仿宋_GB2312" w:hAnsi="仿宋_GB2312" w:eastAsia="仿宋_GB2312" w:cs="仿宋_GB2312"/>
          <w:lang w:eastAsia="zh-CN"/>
        </w:rPr>
        <w:t>要组织开展“安全生产大讲堂”，深入学习宣传习近平总书记关于安全生产的重要指示精神，开展安全生产教育。二是组织管理干部、专家、咨询机构等力量组成“志愿者宣讲团”，</w:t>
      </w:r>
      <w:r>
        <w:rPr>
          <w:rFonts w:hint="eastAsia" w:ascii="仿宋_GB2312" w:hAnsi="仿宋_GB2312" w:eastAsia="仿宋_GB2312" w:cs="仿宋_GB2312"/>
        </w:rPr>
        <w:t>面向</w:t>
      </w:r>
      <w:r>
        <w:rPr>
          <w:rFonts w:hint="eastAsia" w:ascii="仿宋_GB2312" w:hAnsi="仿宋_GB2312" w:cs="仿宋_GB2312"/>
          <w:lang w:eastAsia="zh-CN"/>
        </w:rPr>
        <w:t>在建项目</w:t>
      </w:r>
      <w:r>
        <w:rPr>
          <w:rFonts w:hint="eastAsia" w:ascii="仿宋_GB2312" w:hAnsi="仿宋_GB2312" w:eastAsia="仿宋_GB2312" w:cs="仿宋_GB2312"/>
        </w:rPr>
        <w:t>进行宣讲</w:t>
      </w:r>
      <w:r>
        <w:rPr>
          <w:rFonts w:hint="eastAsia" w:ascii="仿宋_GB2312" w:hAnsi="仿宋_GB2312" w:eastAsia="仿宋_GB2312" w:cs="仿宋_GB2312"/>
          <w:lang w:eastAsia="zh-CN"/>
        </w:rPr>
        <w:t>。</w:t>
      </w:r>
      <w:r>
        <w:rPr>
          <w:rFonts w:hint="eastAsia" w:ascii="仿宋_GB2312" w:hAnsi="仿宋_GB2312" w:eastAsia="仿宋_GB2312" w:cs="仿宋_GB2312"/>
        </w:rPr>
        <w:t>深入开展“七进”巡回宣讲</w:t>
      </w:r>
      <w:r>
        <w:rPr>
          <w:rFonts w:hint="eastAsia" w:ascii="仿宋_GB2312" w:hAnsi="仿宋_GB2312" w:eastAsia="仿宋_GB2312" w:cs="仿宋_GB2312"/>
          <w:lang w:val="en-US" w:eastAsia="zh-CN"/>
        </w:rPr>
        <w:t>，</w:t>
      </w:r>
      <w:r>
        <w:rPr>
          <w:rFonts w:hint="eastAsia" w:ascii="仿宋_GB2312" w:hAnsi="仿宋_GB2312" w:eastAsia="仿宋_GB2312" w:cs="仿宋_GB2312"/>
        </w:rPr>
        <w:t>向</w:t>
      </w:r>
      <w:r>
        <w:rPr>
          <w:rFonts w:hint="eastAsia" w:ascii="仿宋_GB2312" w:hAnsi="仿宋_GB2312" w:cs="仿宋_GB2312"/>
          <w:lang w:eastAsia="zh-CN"/>
        </w:rPr>
        <w:t>在建项目参建企业</w:t>
      </w:r>
      <w:r>
        <w:rPr>
          <w:rFonts w:hint="eastAsia" w:ascii="仿宋_GB2312" w:hAnsi="仿宋_GB2312" w:eastAsia="仿宋_GB2312" w:cs="仿宋_GB2312"/>
        </w:rPr>
        <w:t>普及</w:t>
      </w:r>
      <w:r>
        <w:rPr>
          <w:rFonts w:hint="eastAsia" w:ascii="仿宋_GB2312" w:hAnsi="仿宋_GB2312" w:eastAsia="仿宋_GB2312" w:cs="仿宋_GB2312"/>
          <w:lang w:eastAsia="zh-CN"/>
        </w:rPr>
        <w:t>交通</w:t>
      </w:r>
      <w:r>
        <w:rPr>
          <w:rFonts w:hint="eastAsia" w:ascii="仿宋_GB2312" w:hAnsi="仿宋_GB2312" w:cs="仿宋_GB2312"/>
          <w:lang w:eastAsia="zh-CN"/>
        </w:rPr>
        <w:t>建设</w:t>
      </w:r>
      <w:r>
        <w:rPr>
          <w:rFonts w:hint="eastAsia" w:ascii="仿宋_GB2312" w:hAnsi="仿宋_GB2312" w:eastAsia="仿宋_GB2312" w:cs="仿宋_GB2312"/>
        </w:rPr>
        <w:t>安全知识，传授</w:t>
      </w:r>
      <w:r>
        <w:rPr>
          <w:rFonts w:hint="eastAsia" w:ascii="仿宋_GB2312" w:hAnsi="仿宋_GB2312" w:eastAsia="仿宋_GB2312" w:cs="仿宋_GB2312"/>
          <w:lang w:eastAsia="zh-CN"/>
        </w:rPr>
        <w:t>交通</w:t>
      </w:r>
      <w:r>
        <w:rPr>
          <w:rFonts w:hint="eastAsia" w:ascii="仿宋_GB2312" w:hAnsi="仿宋_GB2312" w:cs="仿宋_GB2312"/>
          <w:lang w:eastAsia="zh-CN"/>
        </w:rPr>
        <w:t>建设</w:t>
      </w:r>
      <w:r>
        <w:rPr>
          <w:rFonts w:hint="eastAsia" w:ascii="仿宋_GB2312" w:hAnsi="仿宋_GB2312" w:eastAsia="仿宋_GB2312" w:cs="仿宋_GB2312"/>
        </w:rPr>
        <w:t>安全技能。</w:t>
      </w:r>
      <w:r>
        <w:rPr>
          <w:rFonts w:hint="eastAsia" w:ascii="仿宋_GB2312" w:hAnsi="仿宋_GB2312" w:eastAsia="仿宋_GB2312" w:cs="仿宋_GB2312"/>
          <w:lang w:eastAsia="zh-CN"/>
        </w:rPr>
        <w:t>三是</w:t>
      </w:r>
      <w:r>
        <w:rPr>
          <w:rFonts w:hint="eastAsia" w:ascii="仿宋_GB2312" w:hAnsi="仿宋_GB2312" w:eastAsia="仿宋_GB2312" w:cs="仿宋_GB2312"/>
        </w:rPr>
        <w:t>交通运输主管部门</w:t>
      </w:r>
      <w:r>
        <w:rPr>
          <w:rFonts w:hint="eastAsia" w:ascii="仿宋_GB2312" w:hAnsi="仿宋_GB2312" w:eastAsia="仿宋_GB2312" w:cs="仿宋_GB2312"/>
          <w:lang w:eastAsia="zh-CN"/>
        </w:rPr>
        <w:t>要通过开展交通运输发展研讨、走进企业进行交流等活动，</w:t>
      </w:r>
      <w:r>
        <w:rPr>
          <w:rFonts w:hint="eastAsia" w:ascii="仿宋_GB2312" w:hAnsi="仿宋_GB2312" w:eastAsia="仿宋_GB2312" w:cs="仿宋_GB2312"/>
        </w:rPr>
        <w:t>强化问题导向，</w:t>
      </w:r>
      <w:r>
        <w:rPr>
          <w:rFonts w:hint="eastAsia" w:ascii="仿宋_GB2312" w:hAnsi="仿宋_GB2312" w:eastAsia="仿宋_GB2312" w:cs="仿宋_GB2312"/>
          <w:lang w:eastAsia="zh-CN"/>
        </w:rPr>
        <w:t>交流交通运输安全管理、安全风险管控和隐患排查的经验做法，</w:t>
      </w:r>
      <w:r>
        <w:rPr>
          <w:rFonts w:hint="eastAsia" w:ascii="仿宋_GB2312" w:hAnsi="仿宋_GB2312" w:eastAsia="仿宋_GB2312" w:cs="仿宋_GB2312"/>
        </w:rPr>
        <w:t>汇智聚力助推安全发展</w:t>
      </w:r>
      <w:r>
        <w:rPr>
          <w:rFonts w:hint="eastAsia" w:ascii="仿宋_GB2312" w:hAnsi="仿宋_GB2312" w:eastAsia="仿宋_GB2312" w:cs="仿宋_GB2312"/>
          <w:lang w:eastAsia="zh-CN"/>
        </w:rPr>
        <w:t>。四是</w:t>
      </w:r>
      <w:r>
        <w:rPr>
          <w:rFonts w:hint="eastAsia" w:ascii="仿宋_GB2312" w:hAnsi="仿宋_GB2312" w:cs="仿宋_GB2312"/>
          <w:color w:val="000000"/>
          <w:szCs w:val="32"/>
          <w:lang w:eastAsia="zh-CN"/>
        </w:rPr>
        <w:t>在建项目参建</w:t>
      </w:r>
      <w:r>
        <w:rPr>
          <w:rFonts w:hint="eastAsia" w:ascii="仿宋_GB2312" w:hAnsi="仿宋_GB2312" w:eastAsia="仿宋_GB2312" w:cs="仿宋_GB2312"/>
          <w:color w:val="000000"/>
          <w:szCs w:val="32"/>
          <w:lang w:eastAsia="zh-CN"/>
        </w:rPr>
        <w:t>企业</w:t>
      </w:r>
      <w:r>
        <w:rPr>
          <w:rFonts w:hint="eastAsia" w:ascii="仿宋_GB2312" w:hAnsi="仿宋_GB2312" w:eastAsia="仿宋_GB2312" w:cs="仿宋_GB2312"/>
          <w:lang w:eastAsia="zh-CN"/>
        </w:rPr>
        <w:t>主要领导要面向全体职工讲一堂“安全课”，</w:t>
      </w:r>
      <w:r>
        <w:rPr>
          <w:rFonts w:hint="eastAsia" w:ascii="仿宋_GB2312" w:hAnsi="仿宋_GB2312" w:eastAsia="仿宋_GB2312" w:cs="仿宋_GB2312"/>
          <w:color w:val="000000"/>
          <w:szCs w:val="32"/>
          <w:lang w:eastAsia="zh-CN"/>
        </w:rPr>
        <w:t>宣传安全生产法律法规、规章制度和知识技能，</w:t>
      </w:r>
      <w:r>
        <w:rPr>
          <w:rFonts w:hint="eastAsia" w:ascii="仿宋_GB2312" w:hAnsi="仿宋_GB2312" w:eastAsia="仿宋_GB2312" w:cs="仿宋_GB2312"/>
        </w:rPr>
        <w:t>深入一线班组面对面交流安全生产心得体会</w:t>
      </w:r>
      <w:r>
        <w:rPr>
          <w:rFonts w:hint="eastAsia" w:ascii="仿宋_GB2312" w:hAnsi="仿宋_GB2312" w:eastAsia="仿宋_GB2312" w:cs="仿宋_GB2312"/>
          <w:lang w:val="en-US" w:eastAsia="zh-CN"/>
        </w:rPr>
        <w:t>。鼓励</w:t>
      </w:r>
      <w:r>
        <w:rPr>
          <w:rFonts w:hint="eastAsia" w:ascii="仿宋_GB2312" w:hAnsi="仿宋_GB2312" w:eastAsia="仿宋_GB2312" w:cs="仿宋_GB2312"/>
          <w:color w:val="000000"/>
          <w:szCs w:val="32"/>
          <w:lang w:eastAsia="zh-CN"/>
        </w:rPr>
        <w:t>邀请专家学者开展专题讲座和安全诊断，精准指导企业管控风险、排除隐患，不断提高企业本质安全水平。</w:t>
      </w:r>
    </w:p>
    <w:p>
      <w:pPr>
        <w:numPr>
          <w:ilvl w:val="0"/>
          <w:numId w:val="1"/>
        </w:numPr>
        <w:spacing w:line="640" w:lineRule="exact"/>
        <w:ind w:firstLine="624" w:firstLineChars="200"/>
        <w:rPr>
          <w:rFonts w:hint="eastAsia" w:ascii="仿宋_GB2312" w:hAnsi="仿宋_GB2312" w:eastAsia="仿宋_GB2312" w:cs="仿宋_GB2312"/>
          <w:lang w:eastAsia="zh-CN"/>
        </w:rPr>
      </w:pPr>
      <w:r>
        <w:rPr>
          <w:rFonts w:hint="eastAsia" w:ascii="仿宋_GB2312" w:hAnsi="仿宋_GB2312" w:eastAsia="仿宋_GB2312" w:cs="仿宋_GB2312"/>
        </w:rPr>
        <w:t>广泛开展宣教指导。一</w:t>
      </w:r>
      <w:r>
        <w:rPr>
          <w:rFonts w:hint="eastAsia" w:ascii="仿宋_GB2312" w:hAnsi="仿宋_GB2312" w:eastAsia="仿宋_GB2312" w:cs="仿宋_GB2312"/>
          <w:lang w:eastAsia="zh-CN"/>
        </w:rPr>
        <w:t>要组织开展“</w:t>
      </w:r>
      <w:r>
        <w:rPr>
          <w:rFonts w:hint="eastAsia" w:ascii="仿宋_GB2312" w:hAnsi="仿宋_GB2312" w:eastAsia="仿宋_GB2312" w:cs="仿宋_GB2312"/>
          <w:color w:val="000000"/>
          <w:szCs w:val="32"/>
        </w:rPr>
        <w:t>6·16</w:t>
      </w:r>
      <w:r>
        <w:rPr>
          <w:rFonts w:hint="eastAsia" w:ascii="仿宋_GB2312" w:hAnsi="仿宋_GB2312" w:eastAsia="仿宋_GB2312" w:cs="仿宋_GB2312"/>
          <w:lang w:eastAsia="zh-CN"/>
        </w:rPr>
        <w:t>”安全宣传咨询日活动，采取设置咨询展台、举办展览展示、发送宣传品、开展有奖竞猜、安全场馆体验等多种形式，组织现场宣传、咨询服务、体验交流、在线访谈、网络公开课、网上展厅等活动，广泛传播交通运输安全生产知识。二要按照省安办要求，积极</w:t>
      </w:r>
      <w:r>
        <w:rPr>
          <w:rFonts w:hint="eastAsia" w:ascii="仿宋_GB2312" w:hAnsi="仿宋_GB2312" w:eastAsia="仿宋_GB2312" w:cs="仿宋_GB2312"/>
        </w:rPr>
        <w:t>组织开展“安全生产公众开放日”活动，搭建企业与社会公众沟通的桥梁。</w:t>
      </w:r>
      <w:r>
        <w:rPr>
          <w:rFonts w:hint="eastAsia" w:ascii="仿宋_GB2312" w:hAnsi="仿宋_GB2312" w:eastAsia="仿宋_GB2312" w:cs="仿宋_GB2312"/>
          <w:lang w:eastAsia="zh-CN"/>
        </w:rPr>
        <w:t>三要加强事故警示教育，通过组织观看公路水路行业典型事故案例，进行专题研讨等形式，深入开展一次警示教育宣讲，提高事故防范和应急处置能力。四要</w:t>
      </w:r>
      <w:r>
        <w:rPr>
          <w:rFonts w:hint="eastAsia" w:ascii="仿宋_GB2312" w:hAnsi="仿宋_GB2312" w:eastAsia="仿宋_GB2312" w:cs="仿宋_GB2312"/>
        </w:rPr>
        <w:t>充分利用主流媒体、行业媒体</w:t>
      </w:r>
      <w:r>
        <w:rPr>
          <w:rFonts w:hint="eastAsia" w:ascii="仿宋_GB2312" w:hAnsi="仿宋_GB2312" w:eastAsia="仿宋_GB2312" w:cs="仿宋_GB2312"/>
          <w:lang w:eastAsia="zh-CN"/>
        </w:rPr>
        <w:t>进行宣传，在</w:t>
      </w:r>
      <w:r>
        <w:rPr>
          <w:rFonts w:hint="eastAsia" w:ascii="仿宋_GB2312" w:hAnsi="仿宋_GB2312" w:cs="仿宋_GB2312"/>
          <w:lang w:eastAsia="zh-CN"/>
        </w:rPr>
        <w:t>项目部</w:t>
      </w:r>
      <w:r>
        <w:rPr>
          <w:rFonts w:hint="eastAsia" w:ascii="仿宋_GB2312" w:hAnsi="仿宋_GB2312" w:eastAsia="仿宋_GB2312" w:cs="仿宋_GB2312"/>
          <w:lang w:eastAsia="zh-CN"/>
        </w:rPr>
        <w:t>等公共场所</w:t>
      </w:r>
      <w:bookmarkStart w:id="0" w:name="_GoBack"/>
      <w:bookmarkEnd w:id="0"/>
      <w:r>
        <w:rPr>
          <w:rFonts w:hint="eastAsia" w:ascii="仿宋_GB2312" w:hAnsi="仿宋_GB2312" w:cs="仿宋_GB2312"/>
          <w:lang w:eastAsia="zh-CN"/>
        </w:rPr>
        <w:t>悬挂</w:t>
      </w:r>
      <w:r>
        <w:rPr>
          <w:rFonts w:hint="eastAsia" w:ascii="仿宋_GB2312" w:hAnsi="仿宋_GB2312" w:eastAsia="仿宋_GB2312" w:cs="仿宋_GB2312"/>
          <w:lang w:eastAsia="zh-CN"/>
        </w:rPr>
        <w:t>安全提示</w:t>
      </w:r>
      <w:r>
        <w:rPr>
          <w:rFonts w:hint="eastAsia" w:ascii="仿宋_GB2312" w:hAnsi="仿宋_GB2312" w:cs="仿宋_GB2312"/>
          <w:lang w:eastAsia="zh-CN"/>
        </w:rPr>
        <w:t>牌、</w:t>
      </w:r>
      <w:r>
        <w:rPr>
          <w:rFonts w:hint="eastAsia" w:ascii="仿宋_GB2312" w:hAnsi="仿宋_GB2312" w:eastAsia="仿宋_GB2312" w:cs="仿宋_GB2312"/>
          <w:lang w:eastAsia="zh-CN"/>
        </w:rPr>
        <w:t>电子显示屏滚动播放科普短视频。</w:t>
      </w:r>
    </w:p>
    <w:p>
      <w:pPr>
        <w:pStyle w:val="5"/>
        <w:spacing w:before="0" w:beforeAutospacing="0" w:after="0" w:afterAutospacing="0"/>
        <w:ind w:firstLine="624" w:firstLineChars="200"/>
        <w:jc w:val="both"/>
        <w:outlineLvl w:val="0"/>
        <w:rPr>
          <w:rFonts w:hint="eastAsia" w:ascii="仿宋_GB2312" w:hAnsi="仿宋_GB2312" w:eastAsia="仿宋_GB2312" w:cs="仿宋_GB2312"/>
          <w:color w:val="auto"/>
          <w:kern w:val="2"/>
          <w:sz w:val="32"/>
          <w:szCs w:val="24"/>
          <w:lang w:val="en-US" w:eastAsia="zh-CN" w:bidi="ar-SA"/>
        </w:rPr>
      </w:pPr>
      <w:r>
        <w:rPr>
          <w:rFonts w:hint="eastAsia" w:ascii="仿宋_GB2312" w:hAnsi="仿宋_GB2312" w:eastAsia="仿宋_GB2312" w:cs="仿宋_GB2312"/>
          <w:color w:val="auto"/>
          <w:kern w:val="2"/>
          <w:sz w:val="32"/>
          <w:szCs w:val="24"/>
          <w:lang w:val="en-US" w:eastAsia="zh-CN" w:bidi="ar-SA"/>
        </w:rPr>
        <w:t>（三）深入推进专项行动。一是各级交通运输管理部门要深入贯彻落实《交通运输部安全委员会关于加强交通运输领域安全生产重大风险防控的通知》（交安委〔2019〕5号，省厅文件另文下发），建立防范化解安全生产重大风险工作推进机制，进一步细化梳理行业安全生产重大风险，建立重大风险清单，切实做好防范化解工作。二是开展问题整改“回头看”活动，重点紧盯省级政府安全生产和消防工作考核巡查、危险化学品安全生产专项巡查发现的问题，开展重点监督检查，并督促整改落实。要适时组织曝光一批存在安全隐患、责任不落实、监管流于形式的反面典型，借助媒体力量监督整改。三是深入开展在建公路水运工程建设安全生产隐患排查治理、“防风险保平安迎大庆”消防安全等专项行动，督促生产经营单位落实主体责任，全面排查交通建设各类安全隐患治理，严格落实安全生产风险管控措施，对问题突出，存在重大隐患的生产经营单位和从业人员列入重点监管名单、依法查处，严厉打击非法违法生产和管理行为。四是组织开展一次安全生产应急预案演练活动，各部门、各单位要根据本辖区交通运输行业潜在的各类风险隐患，组织开展专项或综合安全生产应急预案演练。要突出演练的实战性和实效性，通过应急演练评估等进一步完善应急预案体系，提高预案的针对性、科学性和操作性，强化应急救援协同联动机制，提升从业人员应急处置能力。</w:t>
      </w:r>
    </w:p>
    <w:p>
      <w:pPr>
        <w:pStyle w:val="5"/>
        <w:spacing w:before="0" w:beforeAutospacing="0" w:after="0" w:afterAutospacing="0"/>
        <w:ind w:firstLine="624" w:firstLineChars="200"/>
        <w:jc w:val="both"/>
        <w:rPr>
          <w:rFonts w:hint="eastAsia" w:ascii="黑体" w:eastAsia="黑体" w:cs="Times New Roman"/>
          <w:bCs/>
          <w:sz w:val="32"/>
          <w:szCs w:val="32"/>
        </w:rPr>
      </w:pPr>
      <w:r>
        <w:rPr>
          <w:rFonts w:hint="eastAsia" w:ascii="黑体" w:eastAsia="黑体" w:cs="仿宋_GB2312"/>
          <w:bCs/>
          <w:sz w:val="32"/>
          <w:szCs w:val="32"/>
        </w:rPr>
        <w:t>四、活动要求</w:t>
      </w:r>
    </w:p>
    <w:p>
      <w:pPr>
        <w:pStyle w:val="5"/>
        <w:spacing w:before="0" w:beforeAutospacing="0" w:after="0" w:afterAutospacing="0"/>
        <w:ind w:firstLine="624" w:firstLineChars="200"/>
        <w:jc w:val="both"/>
        <w:outlineLvl w:val="0"/>
        <w:rPr>
          <w:rFonts w:hint="eastAsia" w:ascii="仿宋_GB2312" w:hAnsi="仿宋_GB2312" w:eastAsia="仿宋_GB2312" w:cs="仿宋_GB2312"/>
          <w:color w:val="000000"/>
        </w:rPr>
      </w:pPr>
      <w:r>
        <w:rPr>
          <w:rFonts w:hint="eastAsia" w:ascii="仿宋_GB2312" w:hAnsi="Times New Roman" w:eastAsia="仿宋_GB2312" w:cs="仿宋_GB2312"/>
          <w:kern w:val="2"/>
          <w:sz w:val="32"/>
          <w:szCs w:val="32"/>
        </w:rPr>
        <w:t>（一）加强组织领导。局安全生产工作领导小组全面负责“安全生产月”活动的组织领导，安全生产工作领导小组办公室（设在局安监处）具体负责开展“安全生产月”活动的日常工作。各有关单位要成立“安全生产月”活动组织机构，制定活动方案，认真部署动员，精心组织实施，积极开展各具特色的宣传教育活动，确保取得实效。</w:t>
      </w:r>
    </w:p>
    <w:p>
      <w:pPr>
        <w:spacing w:line="640" w:lineRule="exact"/>
        <w:ind w:firstLine="624" w:firstLineChars="200"/>
        <w:rPr>
          <w:rFonts w:hint="eastAsia" w:ascii="仿宋_GB2312" w:hAnsi="仿宋_GB2312" w:eastAsia="仿宋_GB2312" w:cs="仿宋_GB2312"/>
          <w:color w:val="000000"/>
        </w:rPr>
      </w:pPr>
      <w:r>
        <w:rPr>
          <w:rFonts w:hint="eastAsia" w:ascii="仿宋_GB2312" w:hAnsi="仿宋_GB2312" w:eastAsia="仿宋_GB2312" w:cs="仿宋_GB2312"/>
          <w:color w:val="000000"/>
        </w:rPr>
        <w:t>（二）密切跟踪指导。强化“安全生产月”活动跟踪督导，切实把活动与推进督促企业落实安全生产主体责任结合起来、与推进安全生产监督管理责任落实结合起来、与推进安全生产领域改革发展结合起来，实时掌握活动工作动态，从严从实从细开展好活动。</w:t>
      </w:r>
    </w:p>
    <w:p>
      <w:pPr>
        <w:spacing w:line="640" w:lineRule="exact"/>
        <w:ind w:firstLine="625" w:firstLineChars="0"/>
        <w:rPr>
          <w:rFonts w:hint="eastAsia" w:ascii="仿宋_GB2312" w:hAnsi="仿宋_GB2312" w:eastAsia="仿宋_GB2312" w:cs="仿宋_GB2312"/>
          <w:color w:val="000000"/>
          <w:szCs w:val="32"/>
        </w:rPr>
      </w:pPr>
      <w:r>
        <w:rPr>
          <w:rFonts w:hint="eastAsia" w:ascii="仿宋_GB2312" w:hAnsi="Times New Roman" w:eastAsia="仿宋_GB2312" w:cs="仿宋_GB2312"/>
          <w:kern w:val="2"/>
          <w:sz w:val="32"/>
          <w:szCs w:val="32"/>
        </w:rPr>
        <w:t>（三）强化信息报送。各设区市（区）交通质监站（局），沿海各水运质监站及时向省局安监处报送活动信息，6月5日前报送“安全生产月”活动方案，</w:t>
      </w:r>
      <w:r>
        <w:rPr>
          <w:rFonts w:hint="eastAsia" w:ascii="仿宋_GB2312" w:hAnsi="Times New Roman" w:cs="仿宋_GB2312"/>
          <w:kern w:val="2"/>
          <w:sz w:val="32"/>
          <w:szCs w:val="32"/>
          <w:lang w:val="en-US" w:eastAsia="zh-CN"/>
        </w:rPr>
        <w:t>7</w:t>
      </w:r>
      <w:r>
        <w:rPr>
          <w:rFonts w:hint="eastAsia" w:ascii="仿宋_GB2312" w:hAnsi="Times New Roman" w:eastAsia="仿宋_GB2312" w:cs="仿宋_GB2312"/>
          <w:kern w:val="2"/>
          <w:sz w:val="32"/>
          <w:szCs w:val="32"/>
        </w:rPr>
        <w:t>月</w:t>
      </w:r>
      <w:r>
        <w:rPr>
          <w:rFonts w:hint="eastAsia" w:ascii="仿宋_GB2312" w:hAnsi="Times New Roman" w:cs="仿宋_GB2312"/>
          <w:kern w:val="2"/>
          <w:sz w:val="32"/>
          <w:szCs w:val="32"/>
          <w:lang w:val="en-US" w:eastAsia="zh-CN"/>
        </w:rPr>
        <w:t>1</w:t>
      </w:r>
      <w:r>
        <w:rPr>
          <w:rFonts w:hint="eastAsia" w:ascii="仿宋_GB2312" w:hAnsi="Times New Roman" w:eastAsia="仿宋_GB2312" w:cs="仿宋_GB2312"/>
          <w:kern w:val="2"/>
          <w:sz w:val="32"/>
          <w:szCs w:val="32"/>
        </w:rPr>
        <w:t>日前报送活动总结</w:t>
      </w:r>
      <w:r>
        <w:rPr>
          <w:rFonts w:hint="eastAsia" w:ascii="仿宋_GB2312" w:hAnsi="仿宋_GB2312" w:eastAsia="仿宋_GB2312" w:cs="仿宋_GB2312"/>
        </w:rPr>
        <w:t>和统计表</w:t>
      </w:r>
      <w:r>
        <w:rPr>
          <w:rFonts w:hint="eastAsia" w:ascii="仿宋_GB2312" w:hAnsi="Times New Roman" w:eastAsia="仿宋_GB2312" w:cs="仿宋_GB2312"/>
          <w:kern w:val="2"/>
          <w:sz w:val="32"/>
          <w:szCs w:val="32"/>
        </w:rPr>
        <w:t>，</w:t>
      </w:r>
      <w:r>
        <w:rPr>
          <w:rFonts w:hint="eastAsia" w:ascii="仿宋_GB2312" w:hAnsi="仿宋_GB2312" w:eastAsia="仿宋_GB2312" w:cs="仿宋_GB2312"/>
          <w:color w:val="000000"/>
          <w:szCs w:val="32"/>
        </w:rPr>
        <w:t>每周</w:t>
      </w:r>
      <w:r>
        <w:rPr>
          <w:rFonts w:hint="eastAsia" w:ascii="仿宋_GB2312" w:hAnsi="仿宋_GB2312" w:cs="仿宋_GB2312"/>
          <w:color w:val="000000"/>
          <w:szCs w:val="32"/>
          <w:lang w:eastAsia="zh-CN"/>
        </w:rPr>
        <w:t>二</w:t>
      </w:r>
      <w:r>
        <w:rPr>
          <w:rFonts w:hint="eastAsia" w:ascii="仿宋_GB2312" w:hAnsi="仿宋_GB2312" w:eastAsia="仿宋_GB2312" w:cs="仿宋_GB2312"/>
          <w:color w:val="000000"/>
          <w:szCs w:val="32"/>
          <w:lang w:val="en-US" w:eastAsia="zh-CN"/>
        </w:rPr>
        <w:t>17</w:t>
      </w:r>
      <w:r>
        <w:rPr>
          <w:rFonts w:hint="eastAsia" w:ascii="仿宋_GB2312" w:hAnsi="仿宋_GB2312" w:eastAsia="仿宋_GB2312" w:cs="仿宋_GB2312"/>
          <w:color w:val="000000"/>
          <w:szCs w:val="32"/>
        </w:rPr>
        <w:t>:00前</w:t>
      </w:r>
      <w:r>
        <w:rPr>
          <w:rFonts w:hint="eastAsia" w:ascii="仿宋_GB2312" w:hAnsi="仿宋_GB2312" w:eastAsia="仿宋_GB2312" w:cs="仿宋_GB2312"/>
          <w:color w:val="000000"/>
        </w:rPr>
        <w:t>报送本周活动开展的</w:t>
      </w:r>
      <w:r>
        <w:rPr>
          <w:rFonts w:hint="eastAsia" w:ascii="仿宋_GB2312" w:hAnsi="仿宋_GB2312" w:eastAsia="仿宋_GB2312" w:cs="仿宋_GB2312"/>
        </w:rPr>
        <w:t>视频、图片、文字等电子版资料，</w:t>
      </w:r>
      <w:r>
        <w:rPr>
          <w:rFonts w:hint="eastAsia" w:ascii="仿宋_GB2312" w:hAnsi="仿宋_GB2312" w:eastAsia="仿宋_GB2312" w:cs="仿宋_GB2312"/>
          <w:color w:val="000000"/>
          <w:szCs w:val="32"/>
        </w:rPr>
        <w:t>重大活动情况随时报送。</w:t>
      </w:r>
    </w:p>
    <w:p>
      <w:pPr>
        <w:ind w:firstLine="624"/>
        <w:rPr>
          <w:rFonts w:hint="eastAsia" w:ascii="仿宋_GB2312" w:cs="仿宋_GB2312"/>
          <w:color w:val="000000"/>
          <w:szCs w:val="32"/>
        </w:rPr>
      </w:pPr>
      <w:r>
        <w:rPr>
          <w:rFonts w:hint="eastAsia" w:ascii="仿宋_GB2312" w:cs="仿宋_GB2312"/>
          <w:color w:val="000000"/>
          <w:szCs w:val="32"/>
        </w:rPr>
        <w:t>联系人：肖冰，联系电话：0591-87077661</w:t>
      </w:r>
    </w:p>
    <w:p>
      <w:pPr>
        <w:ind w:firstLine="624"/>
        <w:rPr>
          <w:rFonts w:hint="eastAsia"/>
        </w:rPr>
      </w:pPr>
      <w:r>
        <w:rPr>
          <w:rFonts w:hint="eastAsia" w:ascii="仿宋_GB2312" w:cs="仿宋_GB2312"/>
          <w:color w:val="000000"/>
          <w:szCs w:val="32"/>
        </w:rPr>
        <w:t>邮箱：anjianchu888@163.com</w:t>
      </w:r>
    </w:p>
    <w:p>
      <w:pPr>
        <w:spacing w:line="640" w:lineRule="exact"/>
        <w:ind w:firstLine="625" w:firstLineChars="0"/>
        <w:rPr>
          <w:rFonts w:hint="eastAsia" w:ascii="仿宋_GB2312" w:hAnsi="仿宋_GB2312" w:eastAsia="仿宋_GB2312" w:cs="仿宋_GB2312"/>
          <w:color w:val="000000"/>
        </w:rPr>
      </w:pPr>
    </w:p>
    <w:p>
      <w:pPr>
        <w:spacing w:line="640" w:lineRule="exact"/>
        <w:ind w:firstLine="625" w:firstLineChars="0"/>
        <w:rPr>
          <w:rFonts w:hint="eastAsia" w:ascii="仿宋_GB2312" w:hAnsi="仿宋_GB2312" w:eastAsia="仿宋_GB2312" w:cs="仿宋_GB2312"/>
          <w:color w:val="000000"/>
          <w:szCs w:val="32"/>
          <w:lang w:eastAsia="zh-CN"/>
        </w:rPr>
      </w:pPr>
      <w:r>
        <w:rPr>
          <w:rFonts w:hint="eastAsia" w:ascii="仿宋_GB2312" w:hAnsi="仿宋_GB2312" w:eastAsia="仿宋_GB2312" w:cs="仿宋_GB2312"/>
          <w:color w:val="000000"/>
          <w:szCs w:val="32"/>
        </w:rPr>
        <w:t>附件</w:t>
      </w:r>
      <w:r>
        <w:rPr>
          <w:rFonts w:hint="eastAsia" w:ascii="仿宋_GB2312" w:hAnsi="仿宋_GB2312" w:eastAsia="仿宋_GB2312" w:cs="仿宋_GB2312"/>
          <w:color w:val="000000"/>
          <w:szCs w:val="32"/>
          <w:lang w:eastAsia="zh-CN"/>
        </w:rPr>
        <w:t>：</w:t>
      </w:r>
    </w:p>
    <w:p>
      <w:pPr>
        <w:spacing w:line="640" w:lineRule="exact"/>
        <w:ind w:firstLine="625" w:firstLineChars="0"/>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2019年</w:t>
      </w:r>
      <w:r>
        <w:rPr>
          <w:rFonts w:hint="eastAsia" w:ascii="仿宋_GB2312" w:hAnsi="仿宋_GB2312" w:eastAsia="仿宋_GB2312" w:cs="仿宋_GB2312"/>
          <w:color w:val="000000"/>
          <w:szCs w:val="32"/>
          <w:lang w:eastAsia="zh-CN"/>
        </w:rPr>
        <w:t>福建省交通运输</w:t>
      </w:r>
      <w:r>
        <w:rPr>
          <w:rFonts w:hint="eastAsia" w:ascii="仿宋_GB2312" w:hAnsi="仿宋_GB2312" w:eastAsia="仿宋_GB2312" w:cs="仿宋_GB2312"/>
          <w:color w:val="000000"/>
          <w:szCs w:val="32"/>
        </w:rPr>
        <w:t>“安全生产月”活动情况统计表</w:t>
      </w:r>
    </w:p>
    <w:p>
      <w:pPr>
        <w:spacing w:line="640" w:lineRule="exact"/>
        <w:ind w:firstLine="441" w:firstLineChars="162"/>
        <w:rPr>
          <w:rFonts w:hint="eastAsia" w:ascii="仿宋_GB2312"/>
          <w:sz w:val="28"/>
          <w:szCs w:val="28"/>
        </w:rPr>
      </w:pPr>
    </w:p>
    <w:p/>
    <w:sectPr>
      <w:headerReference r:id="rId5" w:type="first"/>
      <w:footerReference r:id="rId8" w:type="first"/>
      <w:headerReference r:id="rId3" w:type="default"/>
      <w:footerReference r:id="rId6" w:type="default"/>
      <w:headerReference r:id="rId4" w:type="even"/>
      <w:footerReference r:id="rId7" w:type="even"/>
      <w:pgSz w:w="11906" w:h="16838"/>
      <w:pgMar w:top="1701" w:right="1588" w:bottom="1701" w:left="1588" w:header="851" w:footer="624" w:gutter="0"/>
      <w:cols w:space="720" w:num="1"/>
      <w:docGrid w:type="linesAndChars" w:linePitch="610" w:charSpace="-168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ind w:firstLine="360"/>
      <w:rPr>
        <w:rStyle w:val="8"/>
      </w:rPr>
    </w:pPr>
    <w:r>
      <w:fldChar w:fldCharType="begin"/>
    </w:r>
    <w:r>
      <w:rPr>
        <w:rStyle w:val="8"/>
      </w:rPr>
      <w:instrText xml:space="preserve">PAGE  </w:instrText>
    </w:r>
    <w:r>
      <w:fldChar w:fldCharType="separate"/>
    </w:r>
    <w:r>
      <w:rPr>
        <w:rStyle w:val="8"/>
      </w:rPr>
      <w:t>1</w:t>
    </w:r>
    <w:r>
      <w:fldChar w:fldCharType="end"/>
    </w:r>
  </w:p>
  <w:p>
    <w:pPr>
      <w:pStyle w:val="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ind w:firstLine="360"/>
      <w:rPr>
        <w:rStyle w:val="8"/>
      </w:rPr>
    </w:pPr>
    <w:r>
      <w:fldChar w:fldCharType="begin"/>
    </w:r>
    <w:r>
      <w:rPr>
        <w:rStyle w:val="8"/>
      </w:rPr>
      <w:instrText xml:space="preserve">PAGE  </w:instrText>
    </w:r>
    <w:r>
      <w:fldChar w:fldCharType="separate"/>
    </w:r>
    <w:r>
      <w:rPr>
        <w:rStyle w:val="8"/>
      </w:rPr>
      <w:t>4</w:t>
    </w:r>
    <w:r>
      <w:fldChar w:fldCharType="end"/>
    </w:r>
  </w:p>
  <w:p>
    <w:pPr>
      <w:pStyle w:val="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EB4049"/>
    <w:multiLevelType w:val="singleLevel"/>
    <w:tmpl w:val="5CEB4049"/>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567FA7"/>
    <w:rsid w:val="2AF04B72"/>
    <w:rsid w:val="3E0277CD"/>
    <w:rsid w:val="41CA6CB1"/>
    <w:rsid w:val="46777299"/>
    <w:rsid w:val="58567FA7"/>
    <w:rsid w:val="69F70B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link w:val="7"/>
    <w:semiHidden/>
    <w:uiPriority w:val="0"/>
    <w:rPr>
      <w:rFonts w:ascii="Verdana" w:hAnsi="Verdana"/>
      <w:kern w:val="0"/>
      <w:sz w:val="24"/>
      <w:szCs w:val="20"/>
      <w:lang w:eastAsia="en-US"/>
    </w:rPr>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Date"/>
    <w:basedOn w:val="1"/>
    <w:next w:val="1"/>
    <w:qFormat/>
    <w:uiPriority w:val="0"/>
    <w:pPr>
      <w:ind w:left="100" w:leftChars="2500"/>
    </w:p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Normal (Web)"/>
    <w:basedOn w:val="1"/>
    <w:qFormat/>
    <w:uiPriority w:val="0"/>
    <w:pPr>
      <w:widowControl/>
      <w:spacing w:before="100" w:beforeAutospacing="1" w:after="100" w:afterAutospacing="1"/>
      <w:ind w:firstLine="0" w:firstLineChars="0"/>
      <w:jc w:val="left"/>
    </w:pPr>
    <w:rPr>
      <w:rFonts w:ascii="宋体" w:hAnsi="宋体" w:eastAsia="宋体" w:cs="宋体"/>
      <w:color w:val="000000"/>
      <w:kern w:val="0"/>
      <w:sz w:val="24"/>
    </w:rPr>
  </w:style>
  <w:style w:type="paragraph" w:customStyle="1" w:styleId="7">
    <w:name w:val="_Style 5"/>
    <w:basedOn w:val="1"/>
    <w:link w:val="6"/>
    <w:qFormat/>
    <w:uiPriority w:val="0"/>
    <w:pPr>
      <w:widowControl/>
      <w:spacing w:after="160" w:line="240" w:lineRule="exact"/>
      <w:ind w:firstLine="0" w:firstLineChars="0"/>
      <w:jc w:val="left"/>
    </w:pPr>
    <w:rPr>
      <w:rFonts w:ascii="Verdana" w:hAnsi="Verdana"/>
      <w:kern w:val="0"/>
      <w:sz w:val="24"/>
      <w:szCs w:val="20"/>
      <w:lang w:eastAsia="en-US"/>
    </w:rPr>
  </w:style>
  <w:style w:type="character" w:styleId="8">
    <w:name w:val="page number"/>
    <w:basedOn w:val="6"/>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2019-05-31T07:53:00Z</dcterms:created>
  <dc:creator>林荣光</dc:creator>
  <cp:lastModifiedBy>蔡杰</cp:lastModifiedBy>
  <dcterms:modified xsi:type="dcterms:W3CDTF">2019-05-31T09:07:21Z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