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left"/>
        <w:rPr>
          <w:rFonts w:ascii="黑体" w:hAnsi="黑体" w:eastAsia="黑体"/>
          <w:sz w:val="32"/>
          <w:szCs w:val="32"/>
        </w:rPr>
      </w:pPr>
      <w:r>
        <w:rPr>
          <w:rFonts w:hint="eastAsia" w:ascii="黑体" w:hAnsi="黑体" w:eastAsia="黑体"/>
          <w:sz w:val="32"/>
          <w:szCs w:val="32"/>
        </w:rPr>
        <w:t>附件：</w:t>
      </w:r>
    </w:p>
    <w:p>
      <w:pPr>
        <w:spacing w:line="640" w:lineRule="exact"/>
        <w:jc w:val="center"/>
        <w:rPr>
          <w:rFonts w:hint="eastAsia" w:ascii="方正小标宋简体" w:eastAsia="方正小标宋简体" w:cs="Times New Roman" w:hAnsiTheme="majorEastAsia"/>
          <w:sz w:val="36"/>
          <w:szCs w:val="36"/>
          <w:lang w:val="en-US" w:eastAsia="zh-CN"/>
        </w:rPr>
      </w:pPr>
      <w:r>
        <w:rPr>
          <w:rFonts w:hint="eastAsia" w:ascii="方正小标宋简体" w:eastAsia="方正小标宋简体" w:cs="Times New Roman" w:hAnsiTheme="majorEastAsia"/>
          <w:sz w:val="36"/>
          <w:szCs w:val="36"/>
          <w:lang w:val="en-US" w:eastAsia="zh-CN"/>
        </w:rPr>
        <w:t>福银高速公路闽侯沙堤互通工程</w:t>
      </w:r>
    </w:p>
    <w:p>
      <w:pPr>
        <w:spacing w:line="640" w:lineRule="exact"/>
        <w:jc w:val="center"/>
        <w:rPr>
          <w:rFonts w:hint="eastAsia" w:ascii="方正小标宋简体" w:eastAsia="方正小标宋简体" w:hAnsiTheme="majorEastAsia"/>
          <w:sz w:val="36"/>
          <w:szCs w:val="36"/>
        </w:rPr>
      </w:pPr>
      <w:r>
        <w:rPr>
          <w:rFonts w:hint="eastAsia" w:ascii="方正小标宋简体" w:eastAsia="方正小标宋简体" w:hAnsiTheme="majorEastAsia"/>
          <w:sz w:val="36"/>
          <w:szCs w:val="36"/>
        </w:rPr>
        <w:t>交工验收前质量核验意见</w:t>
      </w:r>
    </w:p>
    <w:p>
      <w:pPr>
        <w:spacing w:line="640" w:lineRule="exact"/>
        <w:jc w:val="center"/>
        <w:rPr>
          <w:b/>
          <w:bCs/>
        </w:rPr>
      </w:pPr>
    </w:p>
    <w:p>
      <w:pPr>
        <w:spacing w:line="640" w:lineRule="exact"/>
        <w:ind w:firstLine="624"/>
        <w:rPr>
          <w:rFonts w:ascii="黑体" w:hAnsi="宋体" w:eastAsia="黑体"/>
          <w:sz w:val="32"/>
          <w:szCs w:val="32"/>
        </w:rPr>
      </w:pPr>
      <w:r>
        <w:rPr>
          <w:rFonts w:hint="eastAsia" w:ascii="黑体" w:hAnsi="宋体" w:eastAsia="黑体"/>
          <w:sz w:val="32"/>
          <w:szCs w:val="32"/>
        </w:rPr>
        <w:t>一、工程概况</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zh-CN" w:eastAsia="zh-CN"/>
        </w:rPr>
        <w:t>福银高速公路闽侯沙堤互通工程，位于福州市上街镇沙堤村福银高速公路桩号K32+060</w:t>
      </w:r>
      <w:r>
        <w:rPr>
          <w:rFonts w:hint="eastAsia" w:ascii="微软雅黑" w:hAnsi="微软雅黑" w:eastAsia="微软雅黑" w:cs="微软雅黑"/>
          <w:sz w:val="32"/>
          <w:szCs w:val="32"/>
          <w:highlight w:val="none"/>
          <w:lang w:val="zh-CN" w:eastAsia="zh-CN"/>
        </w:rPr>
        <w:t>~</w:t>
      </w:r>
      <w:r>
        <w:rPr>
          <w:rFonts w:hint="eastAsia" w:ascii="仿宋_GB2312" w:eastAsia="仿宋_GB2312" w:cs="Times New Roman" w:hAnsiTheme="minorEastAsia"/>
          <w:sz w:val="32"/>
          <w:szCs w:val="32"/>
          <w:highlight w:val="none"/>
          <w:lang w:val="zh-CN" w:eastAsia="zh-CN"/>
        </w:rPr>
        <w:t>K33+345处，是新建半直连式T型互通式立交。设收费站1处；主线长约1.113公里；匝道4条，长约3.09公里；互通连接线长230米。互通匝道采用高速公路技术标准建设，设计荷载采用公路-I级，设计速度40km/h；连接线采用二级公路标准建设；匝道路基宽度为单向单车道宽9米、单向双车道宽10.5米、双向双车道宽16.5米，连接线路基宽度21米。项目概算总投资</w:t>
      </w:r>
      <w:r>
        <w:rPr>
          <w:rFonts w:hint="eastAsia" w:ascii="仿宋_GB2312" w:eastAsia="仿宋_GB2312" w:cs="Times New Roman" w:hAnsiTheme="minorEastAsia"/>
          <w:sz w:val="32"/>
          <w:szCs w:val="32"/>
          <w:highlight w:val="none"/>
          <w:lang w:val="en-US" w:eastAsia="zh-CN"/>
        </w:rPr>
        <w:t>3.17</w:t>
      </w:r>
      <w:r>
        <w:rPr>
          <w:rFonts w:hint="eastAsia" w:ascii="仿宋_GB2312" w:eastAsia="仿宋_GB2312" w:cs="Times New Roman" w:hAnsiTheme="minorEastAsia"/>
          <w:sz w:val="32"/>
          <w:szCs w:val="32"/>
          <w:highlight w:val="none"/>
          <w:lang w:val="zh-CN" w:eastAsia="zh-CN"/>
        </w:rPr>
        <w:t>亿元。</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项目于201</w:t>
      </w:r>
      <w:r>
        <w:rPr>
          <w:rFonts w:hint="eastAsia" w:ascii="仿宋_GB2312" w:eastAsia="仿宋_GB2312" w:cs="Times New Roman" w:hAnsiTheme="minorEastAsia"/>
          <w:sz w:val="32"/>
          <w:szCs w:val="32"/>
          <w:highlight w:val="none"/>
          <w:lang w:val="en-US" w:eastAsia="zh-CN"/>
        </w:rPr>
        <w:t>7</w:t>
      </w:r>
      <w:r>
        <w:rPr>
          <w:rFonts w:hint="eastAsia" w:ascii="仿宋_GB2312" w:eastAsia="仿宋_GB2312" w:cs="Times New Roman" w:hAnsiTheme="minorEastAsia"/>
          <w:sz w:val="32"/>
          <w:szCs w:val="32"/>
          <w:highlight w:val="none"/>
          <w:lang w:val="zh-CN" w:eastAsia="zh-CN"/>
        </w:rPr>
        <w:t>年</w:t>
      </w:r>
      <w:r>
        <w:rPr>
          <w:rFonts w:hint="eastAsia" w:ascii="仿宋_GB2312" w:eastAsia="仿宋_GB2312" w:cs="Times New Roman" w:hAnsiTheme="minorEastAsia"/>
          <w:sz w:val="32"/>
          <w:szCs w:val="32"/>
          <w:highlight w:val="none"/>
          <w:lang w:val="en-US" w:eastAsia="zh-CN"/>
        </w:rPr>
        <w:t>12</w:t>
      </w:r>
      <w:r>
        <w:rPr>
          <w:rFonts w:hint="eastAsia" w:ascii="仿宋_GB2312" w:eastAsia="仿宋_GB2312" w:cs="Times New Roman" w:hAnsiTheme="minorEastAsia"/>
          <w:sz w:val="32"/>
          <w:szCs w:val="32"/>
          <w:highlight w:val="none"/>
          <w:lang w:val="zh-CN" w:eastAsia="zh-CN"/>
        </w:rPr>
        <w:t>月正式开工，201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年</w:t>
      </w:r>
      <w:r>
        <w:rPr>
          <w:rFonts w:hint="eastAsia" w:ascii="仿宋_GB2312" w:eastAsia="仿宋_GB2312" w:cs="Times New Roman" w:hAnsiTheme="minorEastAsia"/>
          <w:sz w:val="32"/>
          <w:szCs w:val="32"/>
          <w:highlight w:val="none"/>
          <w:lang w:val="en-US" w:eastAsia="zh-CN"/>
        </w:rPr>
        <w:t>4</w:t>
      </w:r>
      <w:r>
        <w:rPr>
          <w:rFonts w:hint="eastAsia" w:ascii="仿宋_GB2312" w:eastAsia="仿宋_GB2312" w:cs="Times New Roman" w:hAnsiTheme="minorEastAsia"/>
          <w:sz w:val="32"/>
          <w:szCs w:val="32"/>
          <w:highlight w:val="none"/>
          <w:lang w:val="zh-CN" w:eastAsia="zh-CN"/>
        </w:rPr>
        <w:t>月基本完工。</w:t>
      </w:r>
    </w:p>
    <w:p>
      <w:pPr>
        <w:spacing w:line="640" w:lineRule="exact"/>
        <w:ind w:firstLine="624"/>
        <w:rPr>
          <w:rFonts w:hint="eastAsia" w:ascii="黑体" w:hAnsi="宋体" w:eastAsia="黑体"/>
          <w:sz w:val="32"/>
          <w:szCs w:val="32"/>
        </w:rPr>
      </w:pPr>
      <w:r>
        <w:rPr>
          <w:rFonts w:hint="eastAsia" w:ascii="黑体" w:hAnsi="宋体" w:eastAsia="黑体"/>
          <w:sz w:val="32"/>
          <w:szCs w:val="32"/>
        </w:rPr>
        <w:t>二、核验依据</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（一）《公路工程竣(交)工验收办法》(部令2004年第3号)；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（二）《公路工程竣（交）工验收办法实施细则》(交公路发〔2010〕65号)；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（三）《公路工程质量检验评定标准》(JTG F80/1-2004)；</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（四）福建省交通运输厅《关于印发福建省公路工程竣（交）工验收质量检测办法的通知》（闽交建〔2016〕188号）；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（五）《公路水运工程质量监督管理规定》（部令2017年第28号）；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（六）福建省交通运输厅《关于印发福建省公路水运工程质量监督管理实施细则的通知》（闽交建〔2018〕105号）；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（七）《福州市交通建设集团有限公司关于上报福银高速公路闽侯沙堤互通工程交工验收前质量检测存在问题的报告》（榕交建工﹝2019﹞</w:t>
      </w:r>
      <w:r>
        <w:rPr>
          <w:rFonts w:hint="eastAsia" w:ascii="仿宋_GB2312" w:eastAsia="仿宋_GB2312" w:cs="Times New Roman" w:hAnsiTheme="minorEastAsia"/>
          <w:sz w:val="32"/>
          <w:szCs w:val="32"/>
          <w:highlight w:val="none"/>
          <w:lang w:val="en-US" w:eastAsia="zh-CN"/>
        </w:rPr>
        <w:t>131</w:t>
      </w:r>
      <w:r>
        <w:rPr>
          <w:rFonts w:hint="eastAsia" w:ascii="仿宋_GB2312" w:eastAsia="仿宋_GB2312" w:cs="Times New Roman" w:hAnsiTheme="minorEastAsia"/>
          <w:sz w:val="32"/>
          <w:szCs w:val="32"/>
          <w:highlight w:val="none"/>
          <w:lang w:val="zh-CN" w:eastAsia="zh-CN"/>
        </w:rPr>
        <w:t>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（八）《福州市交通建设集团有限公司关于福银高速公路闽侯沙堤互通工程交安工程交工验收前质量检测存在问题的报告》（榕交建工﹝2019﹞</w:t>
      </w:r>
      <w:r>
        <w:rPr>
          <w:rFonts w:hint="eastAsia" w:ascii="仿宋_GB2312" w:eastAsia="仿宋_GB2312" w:cs="Times New Roman" w:hAnsiTheme="minorEastAsia"/>
          <w:sz w:val="32"/>
          <w:szCs w:val="32"/>
          <w:highlight w:val="none"/>
          <w:lang w:val="en-US" w:eastAsia="zh-CN"/>
        </w:rPr>
        <w:t>135</w:t>
      </w:r>
      <w:r>
        <w:rPr>
          <w:rFonts w:hint="eastAsia" w:ascii="仿宋_GB2312" w:eastAsia="仿宋_GB2312" w:cs="Times New Roman" w:hAnsiTheme="minorEastAsia"/>
          <w:sz w:val="32"/>
          <w:szCs w:val="32"/>
          <w:highlight w:val="none"/>
          <w:lang w:val="zh-CN" w:eastAsia="zh-CN"/>
        </w:rPr>
        <w:t>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（九）工程施工合同、施工图设计及经批准的变更设计文件；</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（十）施工单位对工程质量自检评定资料，监理工程师对工程质量评定资料，设计单位对工程设计符合性评价意见；</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（十一）参建单位的有关资料。</w:t>
      </w:r>
    </w:p>
    <w:p>
      <w:pPr>
        <w:spacing w:line="640" w:lineRule="exact"/>
        <w:ind w:firstLine="624"/>
        <w:rPr>
          <w:rFonts w:hint="eastAsia" w:ascii="黑体" w:hAnsi="宋体" w:eastAsia="黑体"/>
          <w:sz w:val="32"/>
          <w:szCs w:val="32"/>
        </w:rPr>
      </w:pPr>
      <w:r>
        <w:rPr>
          <w:rFonts w:hint="eastAsia" w:ascii="黑体" w:hAnsi="宋体" w:eastAsia="黑体"/>
          <w:sz w:val="32"/>
          <w:szCs w:val="32"/>
        </w:rPr>
        <w:t>三、质量评定</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按照《公路工程质量检验评定标准》和《公路工程竣(交)工验收办法》等相关要求，施工单位对分项、分部、单位及合同段工程自检评定并形成质量自检评定报告，质量评定结果为合格，并向监理单位提出“交工验收申请报告”。监理单位对施工单位自检评定报告进行审查并签认，同时对各施工合同段分部、单位和合同段工程开展独立抽检评定，形成质量抽检评定报告，质量评定结果为合格。</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设计单位按照《公路水运工程质量监督管理规定》等有关要求，对工程建设内容是否满足设计要求、是否达到使用功能等方面进行综合检查和分析评价，认为总体建设内容和使用功能符合设计要求。</w:t>
      </w:r>
    </w:p>
    <w:p>
      <w:pPr>
        <w:spacing w:line="640" w:lineRule="exact"/>
        <w:ind w:firstLine="624"/>
        <w:rPr>
          <w:rFonts w:hint="eastAsia" w:ascii="黑体" w:hAnsi="宋体" w:eastAsia="黑体"/>
          <w:sz w:val="32"/>
          <w:szCs w:val="32"/>
        </w:rPr>
      </w:pPr>
      <w:r>
        <w:rPr>
          <w:rFonts w:hint="eastAsia" w:ascii="黑体" w:hAnsi="宋体" w:eastAsia="黑体"/>
          <w:sz w:val="32"/>
          <w:szCs w:val="32"/>
        </w:rPr>
        <w:t>四、交工验收前检测组织</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建设单位根据《公路工程竣(交)工验收办法》、《公路工程竣（交）工验收办法实施细则》、《福建省交通运输厅关于印发福建省公路工程竣（交）工验收质量检测办法的通知》等有关规定，委托福建省交通建设工程试验检测有限公司和福建省交设工程试验检测有限公司开展项目交工验收前质量检测相关工作。</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检测单位对该项目路基、桥梁、路面及交安设施工程开展交工验收前工程外观检查、实体检测，并出具了相关检测报告。建设单位以《福州市交通建设集团有限公司关于上报福银高速公路闽侯沙堤互通工程交工验收前质量检测存在问题的报告》（榕交建工﹝2019﹞</w:t>
      </w:r>
      <w:r>
        <w:rPr>
          <w:rFonts w:hint="eastAsia" w:ascii="仿宋_GB2312" w:eastAsia="仿宋_GB2312" w:cs="Times New Roman" w:hAnsiTheme="minorEastAsia"/>
          <w:sz w:val="32"/>
          <w:szCs w:val="32"/>
          <w:highlight w:val="none"/>
          <w:lang w:val="en-US" w:eastAsia="zh-CN"/>
        </w:rPr>
        <w:t>131</w:t>
      </w:r>
      <w:r>
        <w:rPr>
          <w:rFonts w:hint="eastAsia" w:ascii="仿宋_GB2312" w:eastAsia="仿宋_GB2312" w:cs="Times New Roman" w:hAnsiTheme="minorEastAsia"/>
          <w:sz w:val="32"/>
          <w:szCs w:val="32"/>
          <w:highlight w:val="none"/>
          <w:lang w:val="zh-CN" w:eastAsia="zh-CN"/>
        </w:rPr>
        <w:t>号）及《福州市交通建设集团有限公司关于福银高速公路闽侯沙堤互通工程交安工程交工验收前质量检测存在问题的报告》（榕交建工﹝2019﹞</w:t>
      </w:r>
      <w:r>
        <w:rPr>
          <w:rFonts w:hint="eastAsia" w:ascii="仿宋_GB2312" w:eastAsia="仿宋_GB2312" w:cs="Times New Roman" w:hAnsiTheme="minorEastAsia"/>
          <w:sz w:val="32"/>
          <w:szCs w:val="32"/>
          <w:highlight w:val="none"/>
          <w:lang w:val="en-US" w:eastAsia="zh-CN"/>
        </w:rPr>
        <w:t>135</w:t>
      </w:r>
      <w:r>
        <w:rPr>
          <w:rFonts w:hint="eastAsia" w:ascii="仿宋_GB2312" w:eastAsia="仿宋_GB2312" w:cs="Times New Roman" w:hAnsiTheme="minorEastAsia"/>
          <w:sz w:val="32"/>
          <w:szCs w:val="32"/>
          <w:highlight w:val="none"/>
          <w:lang w:val="zh-CN" w:eastAsia="zh-CN"/>
        </w:rPr>
        <w:t>号）将结果报送我局。</w:t>
      </w:r>
    </w:p>
    <w:p>
      <w:pPr>
        <w:spacing w:line="640" w:lineRule="exact"/>
        <w:ind w:firstLine="624"/>
        <w:rPr>
          <w:rFonts w:hint="eastAsia" w:ascii="黑体" w:hAnsi="宋体" w:eastAsia="黑体"/>
          <w:sz w:val="32"/>
          <w:szCs w:val="32"/>
        </w:rPr>
      </w:pPr>
      <w:r>
        <w:rPr>
          <w:rFonts w:hint="eastAsia" w:ascii="黑体" w:hAnsi="宋体" w:eastAsia="黑体"/>
          <w:sz w:val="32"/>
          <w:szCs w:val="32"/>
        </w:rPr>
        <w:t>五、</w:t>
      </w:r>
      <w:r>
        <w:rPr>
          <w:rFonts w:hint="eastAsia" w:ascii="黑体" w:hAnsi="宋体" w:eastAsia="黑体"/>
          <w:sz w:val="32"/>
          <w:szCs w:val="32"/>
          <w:lang w:eastAsia="zh-CN"/>
        </w:rPr>
        <w:t>交工验收</w:t>
      </w:r>
      <w:r>
        <w:rPr>
          <w:rFonts w:hint="eastAsia" w:ascii="黑体" w:hAnsi="宋体" w:eastAsia="黑体"/>
          <w:sz w:val="32"/>
          <w:szCs w:val="32"/>
        </w:rPr>
        <w:t>质量检测及问题整改</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本项目共</w:t>
      </w:r>
      <w:r>
        <w:rPr>
          <w:rFonts w:hint="eastAsia" w:ascii="仿宋_GB2312" w:eastAsia="仿宋_GB2312" w:cs="Times New Roman" w:hAnsiTheme="minorEastAsia"/>
          <w:sz w:val="32"/>
          <w:szCs w:val="32"/>
          <w:highlight w:val="none"/>
          <w:lang w:val="en-US" w:eastAsia="zh-CN"/>
        </w:rPr>
        <w:t>1</w:t>
      </w:r>
      <w:r>
        <w:rPr>
          <w:rFonts w:hint="eastAsia" w:ascii="仿宋_GB2312" w:eastAsia="仿宋_GB2312" w:cs="Times New Roman" w:hAnsiTheme="minorEastAsia"/>
          <w:sz w:val="32"/>
          <w:szCs w:val="32"/>
          <w:highlight w:val="none"/>
          <w:lang w:val="zh-CN" w:eastAsia="zh-CN"/>
        </w:rPr>
        <w:t>个施工合同段。根据《公路工程质量鉴定办法》、福建省交通运输厅《关于印发福建省公路工程竣（交）工验收质量检测办法的通知》及《福建省公路水运工程质量监督管理实施细则》等有关规定，建设单位组织开展了交工验收前工程质量检测，共抽检了</w:t>
      </w:r>
      <w:r>
        <w:rPr>
          <w:rFonts w:hint="eastAsia" w:ascii="仿宋_GB2312" w:eastAsia="仿宋_GB2312" w:cs="Times New Roman" w:hAnsiTheme="minorEastAsia"/>
          <w:sz w:val="32"/>
          <w:szCs w:val="32"/>
          <w:highlight w:val="none"/>
          <w:lang w:val="en-US" w:eastAsia="zh-CN"/>
        </w:rPr>
        <w:t>2338</w:t>
      </w:r>
      <w:r>
        <w:rPr>
          <w:rFonts w:hint="eastAsia" w:ascii="仿宋_GB2312" w:eastAsia="仿宋_GB2312" w:cs="Times New Roman" w:hAnsiTheme="minorEastAsia"/>
          <w:sz w:val="32"/>
          <w:szCs w:val="32"/>
          <w:highlight w:val="none"/>
          <w:lang w:val="zh-CN" w:eastAsia="zh-CN"/>
        </w:rPr>
        <w:t>点（组），合格</w:t>
      </w:r>
      <w:r>
        <w:rPr>
          <w:rFonts w:hint="eastAsia" w:ascii="仿宋_GB2312" w:eastAsia="仿宋_GB2312" w:cs="Times New Roman" w:hAnsiTheme="minorEastAsia"/>
          <w:sz w:val="32"/>
          <w:szCs w:val="32"/>
          <w:highlight w:val="none"/>
          <w:lang w:val="en-US" w:eastAsia="zh-CN"/>
        </w:rPr>
        <w:t>2257</w:t>
      </w:r>
      <w:r>
        <w:rPr>
          <w:rFonts w:hint="eastAsia" w:ascii="仿宋_GB2312" w:eastAsia="仿宋_GB2312" w:cs="Times New Roman" w:hAnsiTheme="minorEastAsia"/>
          <w:sz w:val="32"/>
          <w:szCs w:val="32"/>
          <w:highlight w:val="none"/>
          <w:lang w:val="zh-CN" w:eastAsia="zh-CN"/>
        </w:rPr>
        <w:t>点（组），合格率为</w:t>
      </w:r>
      <w:r>
        <w:rPr>
          <w:rFonts w:hint="eastAsia" w:ascii="仿宋_GB2312" w:eastAsia="仿宋_GB2312" w:cs="Times New Roman" w:hAnsiTheme="minorEastAsia"/>
          <w:sz w:val="32"/>
          <w:szCs w:val="32"/>
          <w:highlight w:val="none"/>
          <w:lang w:val="en-US" w:eastAsia="zh-CN"/>
        </w:rPr>
        <w:t>96.5</w:t>
      </w:r>
      <w:r>
        <w:rPr>
          <w:rFonts w:hint="eastAsia" w:ascii="仿宋_GB2312" w:eastAsia="仿宋_GB2312" w:cs="Times New Roman" w:hAnsiTheme="minorEastAsia"/>
          <w:sz w:val="32"/>
          <w:szCs w:val="32"/>
          <w:highlight w:val="none"/>
          <w:lang w:val="zh-CN" w:eastAsia="zh-CN"/>
        </w:rPr>
        <w:t>%。</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建设单位针对交工验收前检测、检查发现的工程质量问题，组织制定了方案进行整改。对可能影响结构承载力或结构安全的问题，建设单位邀请专家及相关单位组织论证，制定了专项整改方案，经设计单位确认、并完善审批程序后组织整改。建设单位根据《福建省公路竣（交）工验收质量检测办法的通知》（闽交建〔2016〕188号）委托福建省交通建设工程试验检测有限公司进行复查形成复查报告后，组织各参建单位进行专项验收。建设单位认为检测、检查发现的工程质量问题已整改到位，本次交工验收各项工程满足设计和使用功能要求，将结果以《福州市交通建设集团有限公司关于上报福银高速公路闽侯沙堤互通工程交工验收前工程整改及复查情况的报告》（榕交建工〔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w:t>
      </w:r>
      <w:r>
        <w:rPr>
          <w:rFonts w:hint="eastAsia" w:ascii="仿宋_GB2312" w:eastAsia="仿宋_GB2312" w:cs="Times New Roman" w:hAnsiTheme="minorEastAsia"/>
          <w:sz w:val="32"/>
          <w:szCs w:val="32"/>
          <w:highlight w:val="none"/>
          <w:lang w:val="en-US" w:eastAsia="zh-CN"/>
        </w:rPr>
        <w:t>141</w:t>
      </w:r>
      <w:r>
        <w:rPr>
          <w:rFonts w:hint="eastAsia" w:ascii="仿宋_GB2312" w:eastAsia="仿宋_GB2312" w:cs="Times New Roman" w:hAnsiTheme="minorEastAsia"/>
          <w:sz w:val="32"/>
          <w:szCs w:val="32"/>
          <w:highlight w:val="none"/>
          <w:lang w:val="zh-CN" w:eastAsia="zh-CN"/>
        </w:rPr>
        <w:t>号）报送我局。</w:t>
      </w:r>
    </w:p>
    <w:p>
      <w:pPr>
        <w:spacing w:line="640" w:lineRule="exact"/>
        <w:ind w:firstLine="624"/>
        <w:rPr>
          <w:rFonts w:hint="eastAsia" w:ascii="黑体" w:hAnsi="宋体" w:eastAsia="黑体"/>
          <w:sz w:val="32"/>
          <w:szCs w:val="32"/>
        </w:rPr>
      </w:pPr>
      <w:r>
        <w:rPr>
          <w:rFonts w:hint="eastAsia" w:ascii="黑体" w:hAnsi="宋体" w:eastAsia="黑体"/>
          <w:sz w:val="32"/>
          <w:szCs w:val="32"/>
        </w:rPr>
        <w:t>六、</w:t>
      </w:r>
      <w:r>
        <w:rPr>
          <w:rFonts w:hint="eastAsia" w:ascii="黑体" w:hAnsi="宋体" w:eastAsia="黑体"/>
          <w:sz w:val="32"/>
          <w:szCs w:val="32"/>
          <w:lang w:eastAsia="zh-CN"/>
        </w:rPr>
        <w:t>交工</w:t>
      </w:r>
      <w:r>
        <w:rPr>
          <w:rFonts w:hint="eastAsia" w:ascii="黑体" w:hAnsi="宋体" w:eastAsia="黑体"/>
          <w:sz w:val="32"/>
          <w:szCs w:val="32"/>
        </w:rPr>
        <w:t>验证性检测及核验意见</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我局在建设单位组织的工程质量检查、检测及问题整改的基础上，于201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年</w:t>
      </w:r>
      <w:r>
        <w:rPr>
          <w:rFonts w:hint="eastAsia" w:ascii="仿宋_GB2312" w:eastAsia="仿宋_GB2312" w:cs="Times New Roman" w:hAnsiTheme="minorEastAsia"/>
          <w:sz w:val="32"/>
          <w:szCs w:val="32"/>
          <w:highlight w:val="none"/>
          <w:lang w:val="en-US" w:eastAsia="zh-CN"/>
        </w:rPr>
        <w:t>4</w:t>
      </w:r>
      <w:r>
        <w:rPr>
          <w:rFonts w:hint="eastAsia" w:ascii="仿宋_GB2312" w:eastAsia="仿宋_GB2312" w:cs="Times New Roman" w:hAnsiTheme="minorEastAsia"/>
          <w:sz w:val="32"/>
          <w:szCs w:val="32"/>
          <w:highlight w:val="none"/>
          <w:lang w:val="zh-CN" w:eastAsia="zh-CN"/>
        </w:rPr>
        <w:t>月</w:t>
      </w:r>
      <w:r>
        <w:rPr>
          <w:rFonts w:hint="eastAsia" w:ascii="仿宋_GB2312" w:eastAsia="仿宋_GB2312" w:cs="Times New Roman" w:hAnsiTheme="minorEastAsia"/>
          <w:sz w:val="32"/>
          <w:szCs w:val="32"/>
          <w:highlight w:val="none"/>
          <w:lang w:val="en-US" w:eastAsia="zh-CN"/>
        </w:rPr>
        <w:t>22</w:t>
      </w:r>
      <w:r>
        <w:rPr>
          <w:rFonts w:hint="eastAsia" w:ascii="仿宋_GB2312" w:eastAsia="仿宋_GB2312" w:cs="Times New Roman" w:hAnsiTheme="minorEastAsia"/>
          <w:sz w:val="32"/>
          <w:szCs w:val="32"/>
          <w:highlight w:val="none"/>
          <w:lang w:val="zh-CN" w:eastAsia="zh-CN"/>
        </w:rPr>
        <w:t>日组织对该项目路基、桥梁、路面及交安设施工程交工前质量检测结果进行验证性检测，并对建设单位提交的资料进行审核，签发了《公路工程质量抽查意见通知书》（闽交质监公〔201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w:t>
      </w:r>
      <w:r>
        <w:rPr>
          <w:rFonts w:hint="eastAsia" w:ascii="仿宋_GB2312" w:eastAsia="仿宋_GB2312" w:cs="Times New Roman" w:hAnsiTheme="minorEastAsia"/>
          <w:sz w:val="32"/>
          <w:szCs w:val="32"/>
          <w:highlight w:val="none"/>
          <w:lang w:val="en-US" w:eastAsia="zh-CN"/>
        </w:rPr>
        <w:t>FZSD</w:t>
      </w:r>
      <w:r>
        <w:rPr>
          <w:rFonts w:hint="default" w:ascii="仿宋_GB2312" w:eastAsia="仿宋_GB2312" w:cs="Times New Roman" w:hAnsiTheme="minorEastAsia"/>
          <w:sz w:val="32"/>
          <w:szCs w:val="32"/>
          <w:highlight w:val="none"/>
          <w:lang w:val="en-US" w:eastAsia="zh-CN"/>
        </w:rPr>
        <w:t>0</w:t>
      </w:r>
      <w:r>
        <w:rPr>
          <w:rFonts w:hint="eastAsia" w:ascii="仿宋_GB2312" w:eastAsia="仿宋_GB2312" w:cs="Times New Roman" w:hAnsiTheme="minorEastAsia"/>
          <w:sz w:val="32"/>
          <w:szCs w:val="32"/>
          <w:highlight w:val="none"/>
          <w:lang w:val="en-US" w:eastAsia="zh-CN"/>
        </w:rPr>
        <w:t>4</w:t>
      </w:r>
      <w:r>
        <w:rPr>
          <w:rFonts w:hint="default" w:ascii="仿宋_GB2312" w:eastAsia="仿宋_GB2312" w:cs="Times New Roman" w:hAnsiTheme="minorEastAsia"/>
          <w:sz w:val="32"/>
          <w:szCs w:val="32"/>
          <w:highlight w:val="none"/>
          <w:lang w:val="en-US" w:eastAsia="zh-CN"/>
        </w:rPr>
        <w:t>01</w:t>
      </w:r>
      <w:r>
        <w:rPr>
          <w:rFonts w:hint="eastAsia" w:ascii="仿宋_GB2312" w:eastAsia="仿宋_GB2312" w:cs="Times New Roman" w:hAnsiTheme="minorEastAsia"/>
          <w:sz w:val="32"/>
          <w:szCs w:val="32"/>
          <w:highlight w:val="none"/>
          <w:lang w:val="zh-CN" w:eastAsia="zh-CN"/>
        </w:rPr>
        <w:t>号）。建设单位对抽查意见通知书提出的问题组织整改，将整改结果以《福州市交通建设集团有限公司关于福银高速公路闽侯沙堤互通工程交工验收前质量抽查存在问题的整改反馈报告》（榕交建工〔201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w:t>
      </w:r>
      <w:r>
        <w:rPr>
          <w:rFonts w:hint="eastAsia" w:ascii="仿宋_GB2312" w:eastAsia="仿宋_GB2312" w:cs="Times New Roman" w:hAnsiTheme="minorEastAsia"/>
          <w:sz w:val="32"/>
          <w:szCs w:val="32"/>
          <w:highlight w:val="none"/>
          <w:lang w:val="en-US" w:eastAsia="zh-CN"/>
        </w:rPr>
        <w:t>145</w:t>
      </w:r>
      <w:r>
        <w:rPr>
          <w:rFonts w:hint="eastAsia" w:ascii="仿宋_GB2312" w:eastAsia="仿宋_GB2312" w:cs="Times New Roman" w:hAnsiTheme="minorEastAsia"/>
          <w:sz w:val="32"/>
          <w:szCs w:val="32"/>
          <w:highlight w:val="none"/>
          <w:lang w:val="zh-CN" w:eastAsia="zh-CN"/>
        </w:rPr>
        <w:t>号）报送我局。</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验证性检测重点对交工前外观检查发现问题的整改情况进行抽查，对路基工程的边坡坡度、桥梁工程的钢筋保护层厚度、混凝土强度和钢箱梁焊缝质量、路面工程的横向力系数和构造深度、交通安全设施的标线厚度、逆反射系数和波形梁钢护栏横梁中心高度、基底金属厚度等指标进行抽查，并将验证性检测结果与建设单位提交的交工验收前工程质量检测结果进行比对，两者结果基本吻合。</w:t>
      </w:r>
    </w:p>
    <w:p>
      <w:pPr>
        <w:spacing w:line="640" w:lineRule="exact"/>
        <w:ind w:firstLine="624"/>
        <w:rPr>
          <w:rFonts w:hint="eastAsia" w:ascii="黑体" w:hAnsi="宋体" w:eastAsia="黑体"/>
          <w:sz w:val="32"/>
          <w:szCs w:val="32"/>
        </w:rPr>
      </w:pPr>
      <w:r>
        <w:rPr>
          <w:rFonts w:hint="eastAsia" w:ascii="黑体" w:hAnsi="宋体" w:eastAsia="黑体"/>
          <w:sz w:val="32"/>
          <w:szCs w:val="32"/>
        </w:rPr>
        <w:t>七、问题与建议</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（一）外观检查发现的问题虽经整改，但试营运期间应加强对桥跨结构各受力控制截面、支座等重要部件的养护管理，按规范要求开展定期检查和养护，加强对桥梁缺陷修复部位的检查，发现问题及时处理。</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（二）加强通车运行阶段路面使用状况的日常巡查和养护，加强对沿线交安设施的排查。</w:t>
      </w:r>
      <w:bookmarkStart w:id="0" w:name="_GoBack"/>
      <w:bookmarkEnd w:id="0"/>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（三）质量保证资料应进一步收集、整理、完善，按照档案管理要求进行整理归类、编辑、装订。</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1C61424E"/>
    <w:rsid w:val="00027841"/>
    <w:rsid w:val="0004229E"/>
    <w:rsid w:val="00045443"/>
    <w:rsid w:val="00066094"/>
    <w:rsid w:val="000A10A1"/>
    <w:rsid w:val="000C3E45"/>
    <w:rsid w:val="000D79DD"/>
    <w:rsid w:val="000F6EA2"/>
    <w:rsid w:val="001014C6"/>
    <w:rsid w:val="00105E89"/>
    <w:rsid w:val="00131F84"/>
    <w:rsid w:val="00141CF2"/>
    <w:rsid w:val="00142D74"/>
    <w:rsid w:val="00154ADD"/>
    <w:rsid w:val="00167999"/>
    <w:rsid w:val="001953E0"/>
    <w:rsid w:val="001A649A"/>
    <w:rsid w:val="001B1A4D"/>
    <w:rsid w:val="001B5D17"/>
    <w:rsid w:val="001F61FD"/>
    <w:rsid w:val="0020406D"/>
    <w:rsid w:val="00225F1C"/>
    <w:rsid w:val="00231B31"/>
    <w:rsid w:val="00235581"/>
    <w:rsid w:val="002728F9"/>
    <w:rsid w:val="0027468A"/>
    <w:rsid w:val="00286593"/>
    <w:rsid w:val="002911CC"/>
    <w:rsid w:val="002B2DF0"/>
    <w:rsid w:val="002E6CBE"/>
    <w:rsid w:val="002E7AAA"/>
    <w:rsid w:val="002F3D99"/>
    <w:rsid w:val="00310349"/>
    <w:rsid w:val="003301FE"/>
    <w:rsid w:val="0035104F"/>
    <w:rsid w:val="0036615E"/>
    <w:rsid w:val="00376B1A"/>
    <w:rsid w:val="00377CFA"/>
    <w:rsid w:val="003A2AED"/>
    <w:rsid w:val="003B0306"/>
    <w:rsid w:val="003E49FD"/>
    <w:rsid w:val="003E5633"/>
    <w:rsid w:val="003E7139"/>
    <w:rsid w:val="003F6808"/>
    <w:rsid w:val="00417CE1"/>
    <w:rsid w:val="004407EF"/>
    <w:rsid w:val="004425C7"/>
    <w:rsid w:val="00462F9B"/>
    <w:rsid w:val="00470F68"/>
    <w:rsid w:val="004777FA"/>
    <w:rsid w:val="004909C5"/>
    <w:rsid w:val="004F3797"/>
    <w:rsid w:val="00500017"/>
    <w:rsid w:val="00506CE7"/>
    <w:rsid w:val="00512B91"/>
    <w:rsid w:val="00512ED0"/>
    <w:rsid w:val="00514D5A"/>
    <w:rsid w:val="005204CE"/>
    <w:rsid w:val="0052587D"/>
    <w:rsid w:val="00556B4F"/>
    <w:rsid w:val="0057343C"/>
    <w:rsid w:val="005853C0"/>
    <w:rsid w:val="005B1394"/>
    <w:rsid w:val="005B3291"/>
    <w:rsid w:val="005C05BD"/>
    <w:rsid w:val="005E2F74"/>
    <w:rsid w:val="005F1CA6"/>
    <w:rsid w:val="005F2C35"/>
    <w:rsid w:val="006137E3"/>
    <w:rsid w:val="006538BC"/>
    <w:rsid w:val="0065517E"/>
    <w:rsid w:val="006A10CA"/>
    <w:rsid w:val="006A6CE3"/>
    <w:rsid w:val="006C0874"/>
    <w:rsid w:val="006C3D01"/>
    <w:rsid w:val="006C459A"/>
    <w:rsid w:val="006C7D2D"/>
    <w:rsid w:val="006D0252"/>
    <w:rsid w:val="006D4A13"/>
    <w:rsid w:val="006F2715"/>
    <w:rsid w:val="00702906"/>
    <w:rsid w:val="00710B6D"/>
    <w:rsid w:val="007114CC"/>
    <w:rsid w:val="007132A5"/>
    <w:rsid w:val="00723A4F"/>
    <w:rsid w:val="007260F5"/>
    <w:rsid w:val="00736A62"/>
    <w:rsid w:val="00745AD8"/>
    <w:rsid w:val="00750A0E"/>
    <w:rsid w:val="007618A7"/>
    <w:rsid w:val="0078111D"/>
    <w:rsid w:val="00795782"/>
    <w:rsid w:val="007C3747"/>
    <w:rsid w:val="007C5D5C"/>
    <w:rsid w:val="007D5E4D"/>
    <w:rsid w:val="007E38DD"/>
    <w:rsid w:val="007F7818"/>
    <w:rsid w:val="0082137C"/>
    <w:rsid w:val="008224FC"/>
    <w:rsid w:val="0083121F"/>
    <w:rsid w:val="00851B38"/>
    <w:rsid w:val="00853979"/>
    <w:rsid w:val="00856DB7"/>
    <w:rsid w:val="00893670"/>
    <w:rsid w:val="008A4298"/>
    <w:rsid w:val="008D74BA"/>
    <w:rsid w:val="009008B8"/>
    <w:rsid w:val="00901FAD"/>
    <w:rsid w:val="0090501B"/>
    <w:rsid w:val="0091554E"/>
    <w:rsid w:val="00920DC6"/>
    <w:rsid w:val="009928AA"/>
    <w:rsid w:val="0099506F"/>
    <w:rsid w:val="009D561E"/>
    <w:rsid w:val="009F7C27"/>
    <w:rsid w:val="00A03E0D"/>
    <w:rsid w:val="00A110B7"/>
    <w:rsid w:val="00A25881"/>
    <w:rsid w:val="00A2628E"/>
    <w:rsid w:val="00A47E86"/>
    <w:rsid w:val="00A573A6"/>
    <w:rsid w:val="00A7129E"/>
    <w:rsid w:val="00A75382"/>
    <w:rsid w:val="00A7547F"/>
    <w:rsid w:val="00A76160"/>
    <w:rsid w:val="00A800D1"/>
    <w:rsid w:val="00A82BBD"/>
    <w:rsid w:val="00A90440"/>
    <w:rsid w:val="00AB0628"/>
    <w:rsid w:val="00B50EAD"/>
    <w:rsid w:val="00B603AF"/>
    <w:rsid w:val="00BB3E31"/>
    <w:rsid w:val="00BE776F"/>
    <w:rsid w:val="00BE7A5A"/>
    <w:rsid w:val="00C01ADD"/>
    <w:rsid w:val="00C305C1"/>
    <w:rsid w:val="00C4150C"/>
    <w:rsid w:val="00C729F0"/>
    <w:rsid w:val="00C8429D"/>
    <w:rsid w:val="00C9654A"/>
    <w:rsid w:val="00CA20EC"/>
    <w:rsid w:val="00CA7BA2"/>
    <w:rsid w:val="00CE67D4"/>
    <w:rsid w:val="00CF6B6C"/>
    <w:rsid w:val="00D06224"/>
    <w:rsid w:val="00D06C4F"/>
    <w:rsid w:val="00D10ED4"/>
    <w:rsid w:val="00D20A4D"/>
    <w:rsid w:val="00D2158F"/>
    <w:rsid w:val="00D259AA"/>
    <w:rsid w:val="00D25C9D"/>
    <w:rsid w:val="00D26C1A"/>
    <w:rsid w:val="00D270EB"/>
    <w:rsid w:val="00D3055A"/>
    <w:rsid w:val="00D57C72"/>
    <w:rsid w:val="00D76F47"/>
    <w:rsid w:val="00D9525A"/>
    <w:rsid w:val="00D963D6"/>
    <w:rsid w:val="00DB3D4A"/>
    <w:rsid w:val="00DB48FF"/>
    <w:rsid w:val="00DE4E32"/>
    <w:rsid w:val="00DF200C"/>
    <w:rsid w:val="00E31EBD"/>
    <w:rsid w:val="00E36549"/>
    <w:rsid w:val="00E42003"/>
    <w:rsid w:val="00E52F20"/>
    <w:rsid w:val="00E664DE"/>
    <w:rsid w:val="00E96A52"/>
    <w:rsid w:val="00EA0549"/>
    <w:rsid w:val="00EA41C3"/>
    <w:rsid w:val="00EA79A4"/>
    <w:rsid w:val="00EE3459"/>
    <w:rsid w:val="00EF6360"/>
    <w:rsid w:val="00F178D9"/>
    <w:rsid w:val="00F27766"/>
    <w:rsid w:val="00F34BD6"/>
    <w:rsid w:val="00F40EBA"/>
    <w:rsid w:val="00F45B13"/>
    <w:rsid w:val="00F81457"/>
    <w:rsid w:val="00FA4540"/>
    <w:rsid w:val="00FB14DD"/>
    <w:rsid w:val="00FD3945"/>
    <w:rsid w:val="00FF68B1"/>
    <w:rsid w:val="01AF5DA6"/>
    <w:rsid w:val="03EF05AE"/>
    <w:rsid w:val="046F6077"/>
    <w:rsid w:val="051F38A7"/>
    <w:rsid w:val="07BF143B"/>
    <w:rsid w:val="08FF6179"/>
    <w:rsid w:val="0AA547C5"/>
    <w:rsid w:val="0BE57AC5"/>
    <w:rsid w:val="0C110C48"/>
    <w:rsid w:val="0C3169FF"/>
    <w:rsid w:val="0CD565EB"/>
    <w:rsid w:val="0CDB7141"/>
    <w:rsid w:val="0FD31A21"/>
    <w:rsid w:val="1291192C"/>
    <w:rsid w:val="12A01871"/>
    <w:rsid w:val="12A9077D"/>
    <w:rsid w:val="14160597"/>
    <w:rsid w:val="14C4367F"/>
    <w:rsid w:val="158D4627"/>
    <w:rsid w:val="1614345C"/>
    <w:rsid w:val="165D03E0"/>
    <w:rsid w:val="173025A2"/>
    <w:rsid w:val="19AC26FB"/>
    <w:rsid w:val="19F05EB1"/>
    <w:rsid w:val="1C193CC0"/>
    <w:rsid w:val="1C2366BB"/>
    <w:rsid w:val="1C61424E"/>
    <w:rsid w:val="1D86367A"/>
    <w:rsid w:val="1E0B7206"/>
    <w:rsid w:val="22663775"/>
    <w:rsid w:val="23744B72"/>
    <w:rsid w:val="23885A65"/>
    <w:rsid w:val="23FC31FE"/>
    <w:rsid w:val="250C4B1E"/>
    <w:rsid w:val="271420DA"/>
    <w:rsid w:val="29852EB5"/>
    <w:rsid w:val="29936E44"/>
    <w:rsid w:val="2C201A48"/>
    <w:rsid w:val="2DD460A6"/>
    <w:rsid w:val="2DDD7982"/>
    <w:rsid w:val="2F9F6926"/>
    <w:rsid w:val="2FBC3065"/>
    <w:rsid w:val="30F5353D"/>
    <w:rsid w:val="328E05A9"/>
    <w:rsid w:val="3369153E"/>
    <w:rsid w:val="358C5EF0"/>
    <w:rsid w:val="362E3916"/>
    <w:rsid w:val="37D848AC"/>
    <w:rsid w:val="387A6F2F"/>
    <w:rsid w:val="398D25A9"/>
    <w:rsid w:val="3A1C5CA9"/>
    <w:rsid w:val="3A6327F4"/>
    <w:rsid w:val="3D074B19"/>
    <w:rsid w:val="3ECA217B"/>
    <w:rsid w:val="3EF0056A"/>
    <w:rsid w:val="3FC133BB"/>
    <w:rsid w:val="41A02242"/>
    <w:rsid w:val="43DC43F6"/>
    <w:rsid w:val="44592C98"/>
    <w:rsid w:val="450F553B"/>
    <w:rsid w:val="4726353B"/>
    <w:rsid w:val="49810C7F"/>
    <w:rsid w:val="49E837F7"/>
    <w:rsid w:val="4A4D2ED9"/>
    <w:rsid w:val="4A961DFC"/>
    <w:rsid w:val="4B396852"/>
    <w:rsid w:val="4EB541D2"/>
    <w:rsid w:val="4F3A4B27"/>
    <w:rsid w:val="50037826"/>
    <w:rsid w:val="52F856A4"/>
    <w:rsid w:val="53356D7D"/>
    <w:rsid w:val="539B3425"/>
    <w:rsid w:val="545F63F0"/>
    <w:rsid w:val="555645AA"/>
    <w:rsid w:val="55831180"/>
    <w:rsid w:val="56246CBA"/>
    <w:rsid w:val="581E772E"/>
    <w:rsid w:val="58A74F21"/>
    <w:rsid w:val="5A3D7B7A"/>
    <w:rsid w:val="5C8C18C1"/>
    <w:rsid w:val="5CC226B9"/>
    <w:rsid w:val="5CE2123C"/>
    <w:rsid w:val="5EB660E5"/>
    <w:rsid w:val="5EC24B27"/>
    <w:rsid w:val="5F54140D"/>
    <w:rsid w:val="60974A90"/>
    <w:rsid w:val="60B9798B"/>
    <w:rsid w:val="60D63169"/>
    <w:rsid w:val="617E228C"/>
    <w:rsid w:val="61C15C3C"/>
    <w:rsid w:val="61F36B9C"/>
    <w:rsid w:val="644050C8"/>
    <w:rsid w:val="64610811"/>
    <w:rsid w:val="66F23B0B"/>
    <w:rsid w:val="675A5CEC"/>
    <w:rsid w:val="694964B9"/>
    <w:rsid w:val="695D58FC"/>
    <w:rsid w:val="69F578BA"/>
    <w:rsid w:val="6A6843AE"/>
    <w:rsid w:val="6AC93F5B"/>
    <w:rsid w:val="6AD74E43"/>
    <w:rsid w:val="6D535020"/>
    <w:rsid w:val="6D9319E8"/>
    <w:rsid w:val="6E796D63"/>
    <w:rsid w:val="6ED174C9"/>
    <w:rsid w:val="6FBD1803"/>
    <w:rsid w:val="70A87A81"/>
    <w:rsid w:val="73B05A16"/>
    <w:rsid w:val="7518257B"/>
    <w:rsid w:val="75B66395"/>
    <w:rsid w:val="77133C27"/>
    <w:rsid w:val="77184CA2"/>
    <w:rsid w:val="77DC2447"/>
    <w:rsid w:val="78927493"/>
    <w:rsid w:val="7AA8440D"/>
    <w:rsid w:val="7C5E2D56"/>
    <w:rsid w:val="7DB44698"/>
    <w:rsid w:val="7FA54B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basedOn w:val="1"/>
    <w:next w:val="1"/>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8">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4">
    <w:name w:val="Body Text"/>
    <w:basedOn w:val="1"/>
    <w:qFormat/>
    <w:uiPriority w:val="0"/>
    <w:rPr>
      <w:sz w:val="28"/>
    </w:rPr>
  </w:style>
  <w:style w:type="paragraph" w:styleId="5">
    <w:name w:val="footer"/>
    <w:basedOn w:val="1"/>
    <w:link w:val="12"/>
    <w:qFormat/>
    <w:uiPriority w:val="0"/>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kern w:val="0"/>
      <w:sz w:val="24"/>
    </w:rPr>
  </w:style>
  <w:style w:type="character" w:styleId="9">
    <w:name w:val="Hyperlink"/>
    <w:basedOn w:val="8"/>
    <w:qFormat/>
    <w:uiPriority w:val="0"/>
    <w:rPr>
      <w:color w:val="0000FF"/>
      <w:u w:val="single"/>
    </w:rPr>
  </w:style>
  <w:style w:type="character" w:customStyle="1" w:styleId="11">
    <w:name w:val="页眉 Char"/>
    <w:basedOn w:val="8"/>
    <w:link w:val="6"/>
    <w:qFormat/>
    <w:uiPriority w:val="0"/>
    <w:rPr>
      <w:rFonts w:ascii="Calibri" w:hAnsi="Calibri"/>
      <w:kern w:val="2"/>
      <w:sz w:val="18"/>
      <w:szCs w:val="18"/>
    </w:rPr>
  </w:style>
  <w:style w:type="character" w:customStyle="1" w:styleId="12">
    <w:name w:val="页脚 Char"/>
    <w:basedOn w:val="8"/>
    <w:link w:val="5"/>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ou\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微软中国</Company>
  <Pages>6</Pages>
  <Words>365</Words>
  <Characters>2086</Characters>
  <Lines>17</Lines>
  <Paragraphs>4</Paragraphs>
  <TotalTime>19</TotalTime>
  <ScaleCrop>false</ScaleCrop>
  <LinksUpToDate>false</LinksUpToDate>
  <CharactersWithSpaces>2447</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2018-11-12T03:00:00Z</dcterms:created>
  <dc:creator>zhou</dc:creator>
  <cp:lastModifiedBy>林同钦</cp:lastModifiedBy>
  <cp:lastPrinted>2019-01-21T23:57:00Z</cp:lastPrinted>
  <dcterms:modified xsi:type="dcterms:W3CDTF">2019-04-25T07:49:17Z</dcterms:modified>
  <cp:revision>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