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lang w:eastAsia="zh-CN"/>
        </w:rPr>
        <w:t>湄洲湾至重庆高速公路</w:t>
      </w:r>
      <w:r>
        <w:rPr>
          <w:rFonts w:hint="eastAsia" w:ascii="方正小标宋简体" w:hAnsi="仿宋" w:eastAsia="方正小标宋简体"/>
          <w:sz w:val="36"/>
          <w:szCs w:val="36"/>
          <w:highlight w:val="none"/>
          <w:lang w:val="en-US" w:eastAsia="zh-CN"/>
        </w:rPr>
        <w:t>涵江（</w:t>
      </w:r>
      <w:r>
        <w:rPr>
          <w:rFonts w:hint="eastAsia" w:ascii="方正小标宋简体" w:hAnsi="仿宋" w:eastAsia="方正小标宋简体"/>
          <w:sz w:val="36"/>
          <w:szCs w:val="36"/>
          <w:highlight w:val="none"/>
        </w:rPr>
        <w:t>萩芦</w:t>
      </w:r>
      <w:r>
        <w:rPr>
          <w:rFonts w:hint="eastAsia" w:ascii="方正小标宋简体" w:hAnsi="仿宋" w:eastAsia="方正小标宋简体"/>
          <w:sz w:val="36"/>
          <w:szCs w:val="36"/>
          <w:highlight w:val="none"/>
          <w:lang w:eastAsia="zh-CN"/>
        </w:rPr>
        <w:t>）</w:t>
      </w:r>
      <w:r>
        <w:rPr>
          <w:rFonts w:hint="eastAsia" w:ascii="方正小标宋简体" w:hAnsi="仿宋" w:eastAsia="方正小标宋简体"/>
          <w:sz w:val="36"/>
          <w:szCs w:val="36"/>
          <w:highlight w:val="none"/>
        </w:rPr>
        <w:t>至</w:t>
      </w:r>
      <w:r>
        <w:rPr>
          <w:rFonts w:hint="eastAsia" w:ascii="方正小标宋简体" w:hAnsi="仿宋" w:eastAsia="方正小标宋简体"/>
          <w:sz w:val="36"/>
          <w:szCs w:val="36"/>
          <w:highlight w:val="none"/>
          <w:lang w:eastAsia="zh-CN"/>
        </w:rPr>
        <w:t>仙游</w:t>
      </w:r>
      <w:r>
        <w:rPr>
          <w:rFonts w:hint="eastAsia" w:ascii="方正小标宋简体" w:hAnsi="仿宋" w:eastAsia="方正小标宋简体"/>
          <w:sz w:val="36"/>
          <w:szCs w:val="36"/>
          <w:highlight w:val="none"/>
          <w:lang w:val="en-US" w:eastAsia="zh-CN"/>
        </w:rPr>
        <w:t>（五星</w:t>
      </w:r>
      <w:r>
        <w:rPr>
          <w:rFonts w:hint="eastAsia" w:ascii="方正小标宋简体" w:hAnsi="仿宋" w:eastAsia="方正小标宋简体"/>
          <w:sz w:val="36"/>
          <w:szCs w:val="36"/>
          <w:highlight w:val="none"/>
          <w:lang w:eastAsia="zh-CN"/>
        </w:rPr>
        <w:t>）</w:t>
      </w:r>
      <w:r>
        <w:rPr>
          <w:rFonts w:hint="eastAsia" w:ascii="方正小标宋简体" w:hAnsi="仿宋" w:eastAsia="方正小标宋简体"/>
          <w:sz w:val="36"/>
          <w:szCs w:val="36"/>
          <w:highlight w:val="none"/>
        </w:rPr>
        <w:t>段</w:t>
      </w:r>
      <w:r>
        <w:rPr>
          <w:rFonts w:hint="eastAsia" w:ascii="方正小标宋简体" w:hAnsi="仿宋" w:eastAsia="方正小标宋简体"/>
          <w:sz w:val="36"/>
          <w:szCs w:val="36"/>
          <w:highlight w:val="none"/>
          <w:lang w:eastAsia="zh-CN"/>
        </w:rPr>
        <w:t>机电</w:t>
      </w:r>
      <w:r>
        <w:rPr>
          <w:rFonts w:hint="eastAsia" w:ascii="方正小标宋简体" w:hAnsi="仿宋" w:eastAsia="方正小标宋简体"/>
          <w:sz w:val="36"/>
          <w:szCs w:val="36"/>
          <w:highlight w:val="none"/>
        </w:rPr>
        <w:t>工程交工前质量核验意见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szCs w:val="32"/>
          <w:highlight w:val="none"/>
        </w:rPr>
      </w:pPr>
      <w:r>
        <w:rPr>
          <w:rFonts w:hint="eastAsia" w:ascii="仿宋_GB2312" w:hAnsi="宋体"/>
          <w:color w:val="000000"/>
          <w:sz w:val="32"/>
          <w:szCs w:val="32"/>
          <w:highlight w:val="none"/>
          <w:lang w:val="en-US" w:eastAsia="zh-CN"/>
        </w:rPr>
        <w:t>湄洲湾至重</w:t>
      </w:r>
      <w:r>
        <w:rPr>
          <w:rFonts w:hint="eastAsia" w:ascii="仿宋_GB2312"/>
          <w:szCs w:val="32"/>
          <w:highlight w:val="none"/>
          <w:lang w:val="en-US" w:eastAsia="zh-CN"/>
        </w:rPr>
        <w:t>庆</w:t>
      </w:r>
      <w:r>
        <w:rPr>
          <w:rFonts w:hint="eastAsia" w:ascii="仿宋_GB2312"/>
          <w:szCs w:val="32"/>
          <w:highlight w:val="none"/>
          <w:lang w:eastAsia="zh-CN"/>
        </w:rPr>
        <w:t>高速公路</w:t>
      </w:r>
      <w:r>
        <w:rPr>
          <w:rFonts w:hint="eastAsia" w:ascii="仿宋_GB2312"/>
          <w:szCs w:val="32"/>
          <w:highlight w:val="none"/>
          <w:lang w:val="en-US" w:eastAsia="zh-CN"/>
        </w:rPr>
        <w:t>涵江（</w:t>
      </w:r>
      <w:r>
        <w:rPr>
          <w:rFonts w:hint="eastAsia" w:ascii="仿宋_GB2312"/>
          <w:szCs w:val="32"/>
          <w:highlight w:val="none"/>
          <w:lang w:eastAsia="zh-CN"/>
        </w:rPr>
        <w:t>萩芦）至仙游</w:t>
      </w:r>
      <w:r>
        <w:rPr>
          <w:rFonts w:hint="eastAsia" w:ascii="仿宋_GB2312"/>
          <w:szCs w:val="32"/>
          <w:highlight w:val="none"/>
          <w:lang w:val="en-US" w:eastAsia="zh-CN"/>
        </w:rPr>
        <w:t>（五星</w:t>
      </w:r>
      <w:r>
        <w:rPr>
          <w:rFonts w:hint="eastAsia" w:ascii="仿宋_GB2312"/>
          <w:szCs w:val="32"/>
          <w:highlight w:val="none"/>
          <w:lang w:eastAsia="zh-CN"/>
        </w:rPr>
        <w:t>）段</w:t>
      </w:r>
      <w:r>
        <w:rPr>
          <w:rFonts w:hint="eastAsia" w:ascii="仿宋_GB2312" w:hAnsi="宋体"/>
          <w:color w:val="000000"/>
          <w:szCs w:val="32"/>
          <w:highlight w:val="none"/>
          <w:lang w:eastAsia="zh-CN"/>
        </w:rPr>
        <w:t>高速公路起于</w:t>
      </w:r>
      <w:r>
        <w:rPr>
          <w:rFonts w:hint="eastAsia" w:ascii="仿宋_GB2312" w:hAnsi="宋体"/>
          <w:color w:val="000000"/>
          <w:sz w:val="32"/>
          <w:szCs w:val="32"/>
          <w:highlight w:val="none"/>
        </w:rPr>
        <w:t>涵江区</w:t>
      </w:r>
      <w:r>
        <w:rPr>
          <w:rFonts w:hint="eastAsia" w:ascii="仿宋_GB2312"/>
          <w:szCs w:val="32"/>
          <w:highlight w:val="none"/>
          <w:lang w:eastAsia="zh-CN"/>
        </w:rPr>
        <w:t>萩芦镇崇福村</w:t>
      </w:r>
      <w:r>
        <w:rPr>
          <w:rFonts w:hint="eastAsia" w:ascii="仿宋_GB2312" w:hAnsi="宋体"/>
          <w:color w:val="000000"/>
          <w:sz w:val="32"/>
          <w:szCs w:val="32"/>
          <w:highlight w:val="none"/>
        </w:rPr>
        <w:t>，终于</w:t>
      </w:r>
      <w:r>
        <w:rPr>
          <w:rFonts w:hint="eastAsia" w:ascii="仿宋_GB2312" w:hAnsi="宋体"/>
          <w:color w:val="000000"/>
          <w:sz w:val="32"/>
          <w:szCs w:val="32"/>
          <w:highlight w:val="none"/>
          <w:lang w:eastAsia="zh-CN"/>
        </w:rPr>
        <w:t>仙游县游洋</w:t>
      </w:r>
      <w:r>
        <w:rPr>
          <w:rFonts w:hint="eastAsia" w:ascii="仿宋_GB2312" w:hAnsi="宋体"/>
          <w:color w:val="000000"/>
          <w:sz w:val="32"/>
          <w:szCs w:val="32"/>
          <w:highlight w:val="none"/>
        </w:rPr>
        <w:t>镇</w:t>
      </w:r>
      <w:r>
        <w:rPr>
          <w:rFonts w:hint="eastAsia" w:ascii="仿宋_GB2312" w:hAnsi="宋体"/>
          <w:color w:val="000000"/>
          <w:sz w:val="32"/>
          <w:szCs w:val="32"/>
          <w:highlight w:val="none"/>
          <w:lang w:eastAsia="zh-CN"/>
        </w:rPr>
        <w:t>五星</w:t>
      </w:r>
      <w:r>
        <w:rPr>
          <w:rFonts w:hint="eastAsia" w:ascii="仿宋_GB2312" w:hAnsi="宋体"/>
          <w:color w:val="000000"/>
          <w:sz w:val="32"/>
          <w:szCs w:val="32"/>
          <w:highlight w:val="none"/>
        </w:rPr>
        <w:t>村，全长</w:t>
      </w:r>
      <w:r>
        <w:rPr>
          <w:rFonts w:hint="eastAsia" w:ascii="仿宋_GB2312" w:hAnsi="宋体"/>
          <w:color w:val="000000"/>
          <w:sz w:val="32"/>
          <w:szCs w:val="32"/>
          <w:highlight w:val="none"/>
          <w:lang w:val="en-US" w:eastAsia="zh-CN"/>
        </w:rPr>
        <w:t>37.269</w:t>
      </w:r>
      <w:r>
        <w:rPr>
          <w:rFonts w:hint="eastAsia" w:ascii="仿宋_GB2312" w:hAnsi="宋体"/>
          <w:color w:val="000000"/>
          <w:sz w:val="32"/>
          <w:szCs w:val="32"/>
          <w:highlight w:val="none"/>
          <w:lang w:eastAsia="zh-CN"/>
        </w:rPr>
        <w:t>千米。本项目</w:t>
      </w:r>
      <w:r>
        <w:rPr>
          <w:rFonts w:hint="eastAsia" w:ascii="仿宋_GB2312"/>
          <w:szCs w:val="32"/>
          <w:highlight w:val="none"/>
        </w:rPr>
        <w:t>采用双向</w:t>
      </w:r>
      <w:r>
        <w:rPr>
          <w:rFonts w:hint="eastAsia" w:ascii="仿宋_GB2312"/>
          <w:szCs w:val="32"/>
          <w:highlight w:val="none"/>
          <w:lang w:eastAsia="zh-CN"/>
        </w:rPr>
        <w:t>六</w:t>
      </w:r>
      <w:r>
        <w:rPr>
          <w:rFonts w:hint="eastAsia" w:ascii="仿宋_GB2312"/>
          <w:szCs w:val="32"/>
          <w:highlight w:val="none"/>
        </w:rPr>
        <w:t>车道高速公路标准建设，设计速度1</w:t>
      </w:r>
      <w:r>
        <w:rPr>
          <w:rFonts w:hint="eastAsia" w:ascii="仿宋_GB2312"/>
          <w:szCs w:val="32"/>
          <w:highlight w:val="none"/>
          <w:lang w:val="en-US" w:eastAsia="zh-CN"/>
        </w:rPr>
        <w:t>0</w:t>
      </w:r>
      <w:r>
        <w:rPr>
          <w:rFonts w:hint="eastAsia" w:ascii="仿宋_GB2312"/>
          <w:szCs w:val="32"/>
          <w:highlight w:val="none"/>
        </w:rPr>
        <w:t>0</w:t>
      </w:r>
      <w:r>
        <w:rPr>
          <w:rFonts w:hint="eastAsia" w:ascii="仿宋_GB2312"/>
          <w:szCs w:val="32"/>
          <w:highlight w:val="none"/>
          <w:lang w:eastAsia="zh-CN"/>
        </w:rPr>
        <w:t>千米</w:t>
      </w:r>
      <w:r>
        <w:rPr>
          <w:rFonts w:hint="eastAsia" w:ascii="仿宋_GB2312"/>
          <w:szCs w:val="32"/>
          <w:highlight w:val="none"/>
        </w:rPr>
        <w:t>/</w:t>
      </w:r>
      <w:r>
        <w:rPr>
          <w:rFonts w:hint="eastAsia" w:ascii="仿宋_GB2312"/>
          <w:szCs w:val="32"/>
          <w:highlight w:val="none"/>
          <w:lang w:eastAsia="zh-CN"/>
        </w:rPr>
        <w:t>小时</w:t>
      </w:r>
      <w:r>
        <w:rPr>
          <w:rFonts w:hint="eastAsia" w:ascii="仿宋_GB2312"/>
          <w:szCs w:val="32"/>
          <w:highlight w:val="none"/>
        </w:rPr>
        <w:t>，路基宽度</w:t>
      </w:r>
      <w:r>
        <w:rPr>
          <w:rFonts w:hint="eastAsia" w:ascii="仿宋_GB2312"/>
          <w:szCs w:val="32"/>
          <w:highlight w:val="none"/>
          <w:lang w:val="en-US" w:eastAsia="zh-CN"/>
        </w:rPr>
        <w:t>33.5米</w:t>
      </w:r>
      <w:r>
        <w:rPr>
          <w:rFonts w:hint="eastAsia" w:ascii="仿宋_GB2312"/>
          <w:szCs w:val="32"/>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outlineLvl w:val="9"/>
        <w:rPr>
          <w:rFonts w:hint="eastAsia" w:ascii="仿宋_GB2312" w:hAnsi="仿宋" w:eastAsia="仿宋_GB2312" w:cs="仿宋_GB2312"/>
          <w:szCs w:val="32"/>
          <w:highlight w:val="none"/>
          <w:lang w:val="en-US" w:eastAsia="zh-CN"/>
        </w:rPr>
      </w:pPr>
      <w:r>
        <w:rPr>
          <w:rFonts w:hint="eastAsia" w:ascii="仿宋_GB2312" w:hAnsi="宋体"/>
          <w:color w:val="000000"/>
          <w:szCs w:val="32"/>
          <w:highlight w:val="none"/>
          <w:lang w:eastAsia="zh-CN"/>
        </w:rPr>
        <w:t>机电工程于</w:t>
      </w:r>
      <w:r>
        <w:rPr>
          <w:rFonts w:hint="eastAsia" w:ascii="仿宋_GB2312" w:hAnsi="宋体"/>
          <w:color w:val="000000"/>
          <w:szCs w:val="32"/>
          <w:highlight w:val="none"/>
        </w:rPr>
        <w:t>2015年7月24日开工，同年12月26日</w:t>
      </w:r>
      <w:r>
        <w:rPr>
          <w:rFonts w:hint="eastAsia" w:ascii="仿宋_GB2312" w:hAnsi="宋体"/>
          <w:color w:val="000000"/>
          <w:szCs w:val="32"/>
          <w:highlight w:val="none"/>
          <w:lang w:eastAsia="zh-CN"/>
        </w:rPr>
        <w:t>基本</w:t>
      </w:r>
      <w:r>
        <w:rPr>
          <w:rFonts w:hint="eastAsia" w:ascii="仿宋_GB2312" w:hAnsi="宋体"/>
          <w:color w:val="000000"/>
          <w:szCs w:val="32"/>
          <w:highlight w:val="none"/>
        </w:rPr>
        <w:t>完成设备安装调试并投入试运营</w:t>
      </w:r>
      <w:r>
        <w:rPr>
          <w:rFonts w:hint="eastAsia" w:ascii="仿宋_GB2312" w:hAnsi="宋体"/>
          <w:color w:val="000000"/>
          <w:szCs w:val="32"/>
          <w:highlight w:val="none"/>
          <w:lang w:val="en-US" w:eastAsia="zh-CN"/>
        </w:rPr>
        <w:t>,其中岐山隧道轴流风机及配电房于2018年6月</w:t>
      </w:r>
      <w:r>
        <w:rPr>
          <w:rFonts w:hint="eastAsia" w:ascii="仿宋_GB2312" w:hAnsi="宋体"/>
          <w:color w:val="000000"/>
          <w:szCs w:val="32"/>
          <w:highlight w:val="none"/>
        </w:rPr>
        <w:t>完成设备安装调试并投入试运营</w:t>
      </w:r>
      <w:r>
        <w:rPr>
          <w:rFonts w:hint="eastAsia" w:ascii="仿宋_GB2312" w:hAnsi="宋体"/>
          <w:color w:val="000000"/>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（二）《公路工程竣（交）工验收办法实施细则》（交路发[2010]65号）；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关于印发福建省公路工程竣（交）工验收质量检测办法的通知》（闽交建[2016]188号）；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w:t>
      </w:r>
      <w:bookmarkStart w:id="0" w:name="_GoBack"/>
      <w:bookmarkEnd w:id="0"/>
      <w:r>
        <w:rPr>
          <w:rFonts w:hint="eastAsia" w:ascii="仿宋_GB2312" w:hAnsi="宋体"/>
          <w:szCs w:val="32"/>
          <w:highlight w:val="none"/>
        </w:rPr>
        <w:t>部令2017年第28号；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）《福建省交通运输厅关于印发福建省公路水运工程质量监督管理实施细则的通知》（闽交建[2018]105号）；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lang w:val="zh-CN"/>
        </w:rPr>
        <w:t>、《福建省交通运输厅关于印发福建省公路工程竣（交）工验收质量检测办法的通知》等有关规定委托</w:t>
      </w:r>
      <w:r>
        <w:rPr>
          <w:rFonts w:hint="eastAsia" w:ascii="仿宋_GB2312" w:hAnsi="宋体"/>
          <w:szCs w:val="32"/>
          <w:highlight w:val="none"/>
        </w:rPr>
        <w:t>交通运输通信信息工程质量检测中心</w:t>
      </w:r>
      <w:r>
        <w:rPr>
          <w:rFonts w:hint="eastAsia" w:ascii="仿宋_GB2312" w:hAnsi="仿宋_GB2312" w:eastAsia="仿宋_GB2312"/>
          <w:sz w:val="32"/>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2018年1</w:t>
      </w:r>
      <w:r>
        <w:rPr>
          <w:rFonts w:hint="eastAsia" w:ascii="仿宋_GB2312" w:hAnsi="宋体"/>
          <w:szCs w:val="32"/>
          <w:highlight w:val="none"/>
          <w:lang w:val="en-US" w:eastAsia="zh-CN"/>
        </w:rPr>
        <w:t>0</w:t>
      </w:r>
      <w:r>
        <w:rPr>
          <w:rFonts w:hint="eastAsia" w:ascii="仿宋_GB2312" w:hAnsi="宋体"/>
          <w:szCs w:val="32"/>
          <w:highlight w:val="none"/>
        </w:rPr>
        <w:t>月，交通运输通信信息工程质量检测中心对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以</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号）报送我局。</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3</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lang w:val="zh-CN"/>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6438</w:t>
      </w:r>
      <w:r>
        <w:rPr>
          <w:rFonts w:hint="eastAsia" w:ascii="仿宋_GB2312" w:hAnsi="宋体"/>
          <w:szCs w:val="32"/>
          <w:highlight w:val="none"/>
        </w:rPr>
        <w:t>点(组)，合格</w:t>
      </w:r>
      <w:r>
        <w:rPr>
          <w:rFonts w:hint="eastAsia" w:ascii="仿宋_GB2312" w:hAnsi="宋体"/>
          <w:szCs w:val="32"/>
          <w:highlight w:val="none"/>
          <w:lang w:val="en-US" w:eastAsia="zh-CN"/>
        </w:rPr>
        <w:t>6425</w:t>
      </w:r>
      <w:r>
        <w:rPr>
          <w:rFonts w:hint="eastAsia" w:ascii="仿宋_GB2312" w:hAnsi="宋体"/>
          <w:szCs w:val="32"/>
          <w:highlight w:val="none"/>
        </w:rPr>
        <w:t>点（组），合格率为</w:t>
      </w:r>
      <w:r>
        <w:rPr>
          <w:rFonts w:hint="eastAsia" w:ascii="仿宋_GB2312" w:hAnsi="仿宋"/>
          <w:szCs w:val="32"/>
          <w:highlight w:val="none"/>
        </w:rPr>
        <w:t>9</w:t>
      </w:r>
      <w:r>
        <w:rPr>
          <w:rFonts w:hint="eastAsia" w:ascii="仿宋_GB2312" w:hAnsi="仿宋"/>
          <w:szCs w:val="32"/>
          <w:highlight w:val="none"/>
          <w:lang w:val="en-US" w:eastAsia="zh-CN"/>
        </w:rPr>
        <w:t>9</w:t>
      </w:r>
      <w:r>
        <w:rPr>
          <w:rFonts w:hint="eastAsia" w:ascii="仿宋_GB2312" w:hAnsi="仿宋"/>
          <w:szCs w:val="32"/>
          <w:highlight w:val="none"/>
        </w:rPr>
        <w:t>.</w:t>
      </w:r>
      <w:r>
        <w:rPr>
          <w:rFonts w:hint="eastAsia" w:ascii="仿宋_GB2312" w:hAnsi="仿宋"/>
          <w:szCs w:val="32"/>
          <w:highlight w:val="none"/>
          <w:lang w:val="en-US" w:eastAsia="zh-CN"/>
        </w:rPr>
        <w:t>8</w:t>
      </w:r>
      <w:r>
        <w:rPr>
          <w:rFonts w:hint="eastAsia" w:ascii="仿宋_GB2312" w:hAnsi="仿宋"/>
          <w:szCs w:val="32"/>
          <w:highlight w:val="none"/>
        </w:rPr>
        <w:t>%</w:t>
      </w:r>
      <w:r>
        <w:rPr>
          <w:rFonts w:hint="eastAsia" w:ascii="仿宋_GB2312" w:hAnsi="宋体"/>
          <w:szCs w:val="32"/>
          <w:highlight w:val="none"/>
        </w:rPr>
        <w:t>。</w:t>
      </w:r>
    </w:p>
    <w:p>
      <w:pPr>
        <w:spacing w:beforeLines="0" w:afterLines="0"/>
        <w:ind w:left="0" w:leftChars="0" w:firstLine="640" w:firstLineChars="200"/>
        <w:rPr>
          <w:rFonts w:hint="eastAsia" w:ascii="仿宋_GB2312" w:hAnsi="仿宋_GB2312" w:eastAsia="仿宋_GB2312"/>
          <w:sz w:val="32"/>
          <w:lang w:val="zh-CN"/>
        </w:rPr>
      </w:pPr>
      <w:r>
        <w:rPr>
          <w:rFonts w:hint="eastAsia" w:ascii="仿宋_GB2312" w:hAnsi="仿宋_GB2312" w:eastAsia="仿宋_GB2312"/>
          <w:sz w:val="32"/>
          <w:lang w:val="zh-CN"/>
        </w:rPr>
        <w:t>针对交工验收前检测、检查发现的工程质量问题，建设单位组织制定方案进行整改。工程质量问题整改完成后，建</w:t>
      </w:r>
      <w:r>
        <w:rPr>
          <w:rFonts w:hint="eastAsia" w:ascii="仿宋_GB2312" w:hAnsi="仿宋_GB2312" w:eastAsia="仿宋_GB2312"/>
          <w:sz w:val="32"/>
          <w:highlight w:val="none"/>
          <w:lang w:val="zh-CN"/>
        </w:rPr>
        <w:t>设单位根据《福建省公路竣（交）工验收质量检测办法的通知》（闽交建〔2016〕188号）委托</w:t>
      </w:r>
      <w:r>
        <w:rPr>
          <w:rFonts w:hint="eastAsia" w:ascii="仿宋_GB2312" w:hAnsi="宋体"/>
          <w:szCs w:val="32"/>
          <w:highlight w:val="none"/>
        </w:rPr>
        <w:t>交通运输通信信息工程质量检测中心</w:t>
      </w:r>
      <w:r>
        <w:rPr>
          <w:rFonts w:hint="eastAsia" w:ascii="仿宋_GB2312" w:hAnsi="仿宋_GB2312" w:eastAsia="仿宋_GB2312"/>
          <w:sz w:val="32"/>
          <w:highlight w:val="none"/>
          <w:lang w:val="zh-CN"/>
        </w:rPr>
        <w:t>进行复查形成复查报告后，组织各参建单位进行</w:t>
      </w:r>
      <w:r>
        <w:rPr>
          <w:rFonts w:hint="eastAsia" w:ascii="仿宋_GB2312" w:hAnsi="仿宋_GB2312" w:eastAsia="仿宋_GB2312"/>
          <w:sz w:val="32"/>
          <w:lang w:val="zh-CN"/>
        </w:rPr>
        <w:t>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w:t>
      </w:r>
      <w:r>
        <w:rPr>
          <w:rFonts w:hint="eastAsia" w:ascii="仿宋_GB2312" w:hAnsi="仿宋_GB2312" w:eastAsia="仿宋_GB2312"/>
          <w:sz w:val="32"/>
          <w:lang w:val="zh-CN"/>
        </w:rPr>
        <w:t>报送我局。</w:t>
      </w:r>
    </w:p>
    <w:p>
      <w:pPr>
        <w:spacing w:beforeLines="0" w:afterLines="0"/>
        <w:ind w:firstLine="640"/>
        <w:rPr>
          <w:rFonts w:hint="eastAsia" w:ascii="黑体" w:hAnsi="黑体" w:eastAsia="黑体"/>
          <w:sz w:val="32"/>
          <w:lang w:val="zh-CN"/>
        </w:rPr>
      </w:pPr>
      <w:r>
        <w:rPr>
          <w:rFonts w:hint="eastAsia" w:ascii="黑体" w:hAnsi="黑体" w:eastAsia="黑体"/>
          <w:sz w:val="32"/>
          <w:lang w:val="zh-CN"/>
        </w:rPr>
        <w:t>六、交工质量验证性检测及核验意见</w:t>
      </w:r>
    </w:p>
    <w:p>
      <w:pPr>
        <w:spacing w:beforeLines="0" w:afterLines="0"/>
        <w:ind w:firstLine="640"/>
        <w:rPr>
          <w:rFonts w:hint="eastAsia" w:ascii="仿宋_GB2312" w:hAnsi="仿宋_GB2312" w:eastAsia="仿宋_GB2312"/>
          <w:sz w:val="32"/>
          <w:lang w:val="zh-CN"/>
        </w:rPr>
      </w:pPr>
      <w:r>
        <w:rPr>
          <w:rFonts w:hint="eastAsia" w:ascii="仿宋_GB2312" w:hAnsi="仿宋_GB2312" w:eastAsia="仿宋_GB2312"/>
          <w:sz w:val="32"/>
          <w:lang w:val="zh-CN"/>
        </w:rPr>
        <w:t>我局在建设单位组织整改的基础上，</w:t>
      </w:r>
      <w:r>
        <w:rPr>
          <w:rFonts w:hint="eastAsia" w:ascii="仿宋_GB2312" w:hAnsi="仿宋_GB2312" w:eastAsia="仿宋_GB2312"/>
          <w:sz w:val="32"/>
          <w:highlight w:val="none"/>
          <w:lang w:val="zh-CN"/>
        </w:rPr>
        <w:t>于2018年11月29日</w:t>
      </w:r>
      <w:r>
        <w:rPr>
          <w:rFonts w:hint="eastAsia" w:ascii="仿宋_GB2312" w:hAnsi="仿宋_GB2312"/>
          <w:sz w:val="32"/>
          <w:highlight w:val="none"/>
          <w:lang w:val="zh-CN"/>
        </w:rPr>
        <w:t>至</w:t>
      </w:r>
      <w:r>
        <w:rPr>
          <w:rFonts w:hint="eastAsia" w:ascii="仿宋_GB2312" w:hAnsi="仿宋_GB2312"/>
          <w:sz w:val="32"/>
          <w:highlight w:val="none"/>
          <w:lang w:val="en-US" w:eastAsia="zh-CN"/>
        </w:rPr>
        <w:t>30日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lang w:val="zh-CN"/>
        </w:rPr>
        <w:t>工程质量进行验证性检测，并对建设单位提交的资料进行审核，</w:t>
      </w:r>
      <w:r>
        <w:rPr>
          <w:rFonts w:hint="eastAsia" w:ascii="仿宋_GB2312" w:hAnsi="宋体"/>
          <w:szCs w:val="32"/>
          <w:highlight w:val="none"/>
        </w:rPr>
        <w:t>签发了《公路工程质量抽查意见书》（闽交质监公[2018]PTMY1101号）</w:t>
      </w:r>
      <w:r>
        <w:rPr>
          <w:rFonts w:hint="eastAsia" w:ascii="仿宋_GB2312" w:hAnsi="仿宋_GB2312" w:eastAsia="仿宋_GB2312"/>
          <w:sz w:val="32"/>
          <w:lang w:val="zh-CN"/>
        </w:rPr>
        <w:t>。建设单位对抽查意见通知书提出的问题组织整改，将整改结果以</w:t>
      </w:r>
      <w:r>
        <w:rPr>
          <w:rFonts w:hint="eastAsia" w:ascii="仿宋_GB2312" w:hAnsi="宋体"/>
          <w:szCs w:val="32"/>
          <w:highlight w:val="none"/>
        </w:rPr>
        <w:t>《关于</w:t>
      </w:r>
      <w:r>
        <w:rPr>
          <w:rFonts w:hint="eastAsia" w:ascii="仿宋_GB2312" w:hAnsi="宋体"/>
          <w:szCs w:val="32"/>
          <w:highlight w:val="none"/>
          <w:lang w:eastAsia="zh-CN"/>
        </w:rPr>
        <w:t>湄渝高速公路莆田段机电工程交工核验发现问题的整改情况</w:t>
      </w:r>
      <w:r>
        <w:rPr>
          <w:rFonts w:hint="eastAsia" w:ascii="仿宋_GB2312" w:hAnsi="宋体"/>
          <w:szCs w:val="32"/>
          <w:highlight w:val="none"/>
        </w:rPr>
        <w:t>的反馈报告》（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]177</w:t>
      </w:r>
      <w:r>
        <w:rPr>
          <w:rFonts w:hint="eastAsia" w:ascii="仿宋_GB2312" w:hAnsi="宋体"/>
          <w:szCs w:val="32"/>
          <w:highlight w:val="none"/>
        </w:rPr>
        <w:t>号）</w:t>
      </w:r>
      <w:r>
        <w:rPr>
          <w:rFonts w:hint="eastAsia" w:ascii="仿宋_GB2312" w:hAnsi="仿宋_GB2312" w:eastAsia="仿宋_GB2312"/>
          <w:sz w:val="32"/>
          <w:lang w:val="zh-CN"/>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lang w:val="zh-CN"/>
        </w:rPr>
        <w:t>等指标开展抽查，并将验证性检测结果与建设单位提交的交工验收前工程质量检测数据进行比对，检测结果基本吻合。</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10" w:firstLineChars="111"/>
      <w:jc w:val="right"/>
      <w:rPr>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1</w:t>
    </w:r>
    <w:r>
      <w:rPr>
        <w:sz w:val="28"/>
        <w:szCs w:val="28"/>
      </w:rPr>
      <w:fldChar w:fldCharType="end"/>
    </w:r>
    <w:r>
      <w:rPr>
        <w:rStyle w:val="5"/>
        <w:rFonts w:hint="eastAsia"/>
        <w:sz w:val="28"/>
        <w:szCs w:val="28"/>
      </w:rPr>
      <w:t xml:space="preserve"> —</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25826D2"/>
    <w:rsid w:val="033C0808"/>
    <w:rsid w:val="0F7156B5"/>
    <w:rsid w:val="14B216B7"/>
    <w:rsid w:val="18EC3733"/>
    <w:rsid w:val="1FED5754"/>
    <w:rsid w:val="21E75649"/>
    <w:rsid w:val="2CE042AB"/>
    <w:rsid w:val="35617C45"/>
    <w:rsid w:val="37B93E29"/>
    <w:rsid w:val="425D43D7"/>
    <w:rsid w:val="47074FEB"/>
    <w:rsid w:val="513B4910"/>
    <w:rsid w:val="59857436"/>
    <w:rsid w:val="5D384E2E"/>
    <w:rsid w:val="60CF54EF"/>
    <w:rsid w:val="65956EBE"/>
    <w:rsid w:val="69F26D2F"/>
    <w:rsid w:val="746636C6"/>
    <w:rsid w:val="7AF72D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2018-12-24T07:37:05Z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