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w:t>
      </w:r>
    </w:p>
    <w:p>
      <w:pPr>
        <w:pStyle w:val="null3"/>
        <w:jc w:val="center"/>
        <w:outlineLvl w:val="0"/>
      </w:pPr>
      <w:r>
        <w:rPr>
          <w:sz w:val="48"/>
          <w:b/>
        </w:rPr>
        <w:t>货物和服务项目</w:t>
      </w:r>
    </w:p>
    <w:p>
      <w:pPr>
        <w:pStyle w:val="null3"/>
        <w:jc w:val="center"/>
        <w:outlineLvl w:val="0"/>
      </w:pPr>
      <w:r>
        <w:rPr>
          <w:sz w:val="48"/>
          <w:b/>
        </w:rPr>
        <w:t>公开招标文件</w:t>
      </w:r>
    </w:p>
    <w:p>
      <w:pPr>
        <w:pStyle w:val="null3"/>
        <w:jc w:val="center"/>
        <w:outlineLvl w:val="2"/>
      </w:pPr>
      <w:r>
        <w:rPr>
          <w:sz w:val="28"/>
          <w:b/>
        </w:rPr>
        <w:t>项目名称：</w:t>
      </w:r>
      <w:r>
        <w:rPr>
          <w:sz w:val="28"/>
          <w:b/>
        </w:rPr>
        <w:t>2024年营运车辆卫星定位服务平台运行维护服务项目</w:t>
      </w:r>
    </w:p>
    <w:p>
      <w:pPr>
        <w:pStyle w:val="null3"/>
        <w:jc w:val="center"/>
        <w:outlineLvl w:val="2"/>
      </w:pPr>
      <w:r>
        <w:rPr>
          <w:sz w:val="28"/>
          <w:b/>
        </w:rPr>
        <w:t>备案编号：</w:t>
      </w:r>
      <w:r>
        <w:rPr>
          <w:sz w:val="28"/>
          <w:b/>
        </w:rPr>
        <w:t>CGXM-2024-350001-08429[2024]05563</w:t>
      </w:r>
    </w:p>
    <w:p>
      <w:pPr>
        <w:pStyle w:val="null3"/>
        <w:jc w:val="center"/>
        <w:outlineLvl w:val="2"/>
      </w:pPr>
      <w:r>
        <w:rPr>
          <w:sz w:val="28"/>
          <w:b/>
        </w:rPr>
        <w:t>项目编号：</w:t>
      </w:r>
      <w:r>
        <w:rPr>
          <w:sz w:val="28"/>
          <w:b/>
        </w:rPr>
        <w:t>[350001]FJTH[GK]2024032</w:t>
      </w:r>
    </w:p>
    <w:p>
      <w:pPr>
        <w:pStyle w:val="null3"/>
        <w:jc w:val="center"/>
        <w:outlineLvl w:val="2"/>
      </w:pPr>
      <w:r>
        <w:rPr>
          <w:sz w:val="28"/>
          <w:b/>
        </w:rPr>
        <w:t>采购人：</w:t>
      </w:r>
      <w:r>
        <w:rPr>
          <w:sz w:val="28"/>
          <w:b/>
        </w:rPr>
        <w:t>福建省交通信息通信与应急处置中心</w:t>
      </w:r>
    </w:p>
    <w:p>
      <w:pPr>
        <w:pStyle w:val="null3"/>
        <w:jc w:val="center"/>
        <w:outlineLvl w:val="2"/>
      </w:pPr>
      <w:r>
        <w:rPr>
          <w:sz w:val="28"/>
          <w:b/>
        </w:rPr>
        <w:t>代理机构：</w:t>
      </w:r>
      <w:r>
        <w:rPr>
          <w:sz w:val="28"/>
          <w:b/>
        </w:rPr>
        <w:t>福建省天海招标有限公司</w:t>
      </w:r>
    </w:p>
    <w:p>
      <w:pPr>
        <w:pStyle w:val="null3"/>
        <w:jc w:val="center"/>
        <w:outlineLvl w:val="2"/>
      </w:pPr>
      <w:r>
        <w:rPr>
          <w:sz w:val="28"/>
          <w:b/>
        </w:rPr>
        <w:t>编制时间</w:t>
      </w:r>
      <w:r>
        <w:rPr>
          <w:sz w:val="28"/>
          <w:b/>
        </w:rPr>
        <w:t>：</w:t>
      </w:r>
      <w:r>
        <w:rPr>
          <w:sz w:val="28"/>
          <w:b/>
        </w:rPr>
        <w:t>2024年09月</w:t>
      </w:r>
    </w:p>
    <w:p>
      <w:pPr>
        <w:pStyle w:val="null3"/>
      </w:pPr>
      <w:r>
        <w:rPr/>
        <w:t xml:space="preserve"> </w:t>
        <w:br/>
        <w:br w:type="page"/>
      </w:r>
    </w:p>
    <w:p>
      <w:pPr>
        <w:pStyle w:val="null3"/>
        <w:jc w:val="center"/>
        <w:outlineLvl w:val="1"/>
      </w:pPr>
      <w:r>
        <w:rPr>
          <w:sz w:val="36"/>
          <w:b/>
        </w:rPr>
        <w:t>第一章 投标邀请</w:t>
      </w:r>
    </w:p>
    <w:p>
      <w:pPr>
        <w:pStyle w:val="null3"/>
        <w:ind w:firstLine="480"/>
        <w:jc w:val="both"/>
      </w:pPr>
      <w:r>
        <w:rPr/>
        <w:t>福建省天海招标有限公司</w:t>
      </w:r>
      <w:r>
        <w:rPr/>
        <w:t xml:space="preserve"> 采用公开招标方式组织 </w:t>
      </w:r>
      <w:r>
        <w:rPr/>
        <w:t>2024年营运车辆卫星定位服务平台运行维护服务项目</w:t>
      </w:r>
      <w:r>
        <w:rPr/>
        <w:t xml:space="preserve"> （以下简称：“本项目”）的政府采购活动，现邀请供应商参加投标。</w:t>
      </w:r>
    </w:p>
    <w:p>
      <w:pPr>
        <w:pStyle w:val="null3"/>
        <w:ind w:firstLine="480"/>
        <w:jc w:val="left"/>
        <w:outlineLvl w:val="2"/>
      </w:pPr>
      <w:r>
        <w:rPr>
          <w:sz w:val="28"/>
          <w:b/>
        </w:rPr>
        <w:t>1、备案编号</w:t>
      </w:r>
      <w:r>
        <w:rPr>
          <w:sz w:val="28"/>
          <w:b/>
        </w:rPr>
        <w:t>：</w:t>
      </w:r>
      <w:r>
        <w:rPr>
          <w:sz w:val="28"/>
          <w:b/>
        </w:rPr>
        <w:t>CGXM-2024-350001-08429[2024]05563</w:t>
      </w:r>
    </w:p>
    <w:p>
      <w:pPr>
        <w:pStyle w:val="null3"/>
        <w:ind w:firstLine="480"/>
        <w:jc w:val="left"/>
        <w:outlineLvl w:val="2"/>
      </w:pPr>
      <w:r>
        <w:rPr>
          <w:sz w:val="28"/>
          <w:b/>
        </w:rPr>
        <w:t>2、项目编号</w:t>
      </w:r>
      <w:r>
        <w:rPr>
          <w:sz w:val="28"/>
          <w:b/>
        </w:rPr>
        <w:t>：</w:t>
      </w:r>
      <w:r>
        <w:rPr>
          <w:sz w:val="28"/>
          <w:b/>
        </w:rPr>
        <w:t>[350001]FJTH[GK]2024032</w:t>
      </w:r>
    </w:p>
    <w:p>
      <w:pPr>
        <w:pStyle w:val="null3"/>
        <w:ind w:firstLine="480"/>
        <w:jc w:val="both"/>
        <w:outlineLvl w:val="2"/>
      </w:pPr>
      <w:r>
        <w:rPr>
          <w:sz w:val="28"/>
          <w:b/>
        </w:rPr>
        <w:t>3、预算金额、最高限价</w:t>
      </w:r>
      <w:r>
        <w:rPr>
          <w:sz w:val="28"/>
          <w:b/>
        </w:rPr>
        <w:t>：详见《采购标的一览表》。</w:t>
      </w:r>
    </w:p>
    <w:p>
      <w:pPr>
        <w:pStyle w:val="null3"/>
        <w:ind w:firstLine="480"/>
        <w:jc w:val="left"/>
        <w:outlineLvl w:val="2"/>
      </w:pPr>
      <w:r>
        <w:rPr>
          <w:sz w:val="28"/>
          <w:b/>
        </w:rPr>
        <w:t>4、招标内容及要求</w:t>
      </w:r>
      <w:r>
        <w:rPr>
          <w:sz w:val="28"/>
          <w:b/>
        </w:rPr>
        <w:t>：详见《采购标的一览表》及招标文件第五章。</w:t>
      </w:r>
    </w:p>
    <w:p>
      <w:pPr>
        <w:pStyle w:val="null3"/>
        <w:ind w:firstLine="480"/>
        <w:jc w:val="left"/>
        <w:outlineLvl w:val="2"/>
      </w:pPr>
      <w:r>
        <w:rPr>
          <w:sz w:val="28"/>
          <w:b/>
        </w:rPr>
        <w:t>5、需要落实的政府采购政策</w:t>
      </w:r>
    </w:p>
    <w:p>
      <w:pPr>
        <w:pStyle w:val="null3"/>
        <w:ind w:firstLine="960"/>
        <w:jc w:val="left"/>
      </w:pPr>
      <w:r>
        <w:rPr/>
        <w:t>进口产品：</w:t>
      </w:r>
      <w:r>
        <w:rPr/>
        <w:t>不适用于本项目</w:t>
      </w:r>
    </w:p>
    <w:p>
      <w:pPr>
        <w:pStyle w:val="null3"/>
        <w:ind w:firstLine="960"/>
        <w:jc w:val="left"/>
      </w:pPr>
      <w:r>
        <w:rPr/>
        <w:t>节能产品：</w:t>
      </w:r>
      <w:r>
        <w:rPr/>
        <w:t>不适用于本项目</w:t>
      </w:r>
    </w:p>
    <w:p>
      <w:pPr>
        <w:pStyle w:val="null3"/>
        <w:ind w:firstLine="960"/>
        <w:jc w:val="left"/>
      </w:pPr>
      <w:r>
        <w:rPr/>
        <w:t>环境标志产品：</w:t>
      </w:r>
      <w:r>
        <w:rPr/>
        <w:t>不适用于本项目</w:t>
      </w:r>
    </w:p>
    <w:p>
      <w:pPr>
        <w:pStyle w:val="null3"/>
        <w:ind w:firstLine="960"/>
        <w:jc w:val="left"/>
      </w:pPr>
      <w:r>
        <w:rPr/>
        <w:t>促进中小企业发展的相关政策：</w:t>
      </w:r>
    </w:p>
    <w:p>
      <w:pPr>
        <w:pStyle w:val="null3"/>
        <w:ind w:firstLine="960"/>
        <w:jc w:val="left"/>
      </w:pPr>
      <w:r>
        <w:rPr/>
        <w:t>采购包1：专门采购包预留</w:t>
      </w:r>
    </w:p>
    <w:p>
      <w:pPr>
        <w:pStyle w:val="null3"/>
        <w:jc w:val="left"/>
      </w:pPr>
      <w:r>
        <w:rPr/>
        <w:t>面向的企业规模：</w:t>
      </w:r>
      <w:r>
        <w:rPr/>
        <w:t>中小企业</w:t>
      </w:r>
    </w:p>
    <w:p>
      <w:pPr>
        <w:pStyle w:val="null3"/>
        <w:jc w:val="left"/>
      </w:pPr>
      <w:r>
        <w:rPr/>
        <w:t>预留形式：</w:t>
      </w:r>
      <w:r>
        <w:rPr/>
        <w:t>专门采购包预留</w:t>
      </w:r>
    </w:p>
    <w:p>
      <w:pPr>
        <w:pStyle w:val="null3"/>
        <w:jc w:val="left"/>
      </w:pPr>
      <w:r>
        <w:rPr/>
        <w:t>预留比例：</w:t>
      </w:r>
      <w:r>
        <w:rPr/>
        <w:t>100%</w:t>
      </w:r>
    </w:p>
    <w:p>
      <w:pPr>
        <w:pStyle w:val="null3"/>
        <w:ind w:firstLine="480"/>
        <w:jc w:val="both"/>
        <w:outlineLvl w:val="2"/>
      </w:pPr>
      <w:r>
        <w:rPr>
          <w:sz w:val="28"/>
          <w:b/>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本采购包属于专门面向中小企业采购。</w:t>
            </w:r>
          </w:p>
        </w:tc>
        <w:tc>
          <w:tcPr>
            <w:tcW w:type="dxa" w:w="4614"/>
          </w:tcPr>
          <w:p>
            <w:pPr>
              <w:pStyle w:val="null3"/>
              <w:jc w:val="both"/>
            </w:pPr>
            <w:r>
              <w:rPr/>
              <w:t>根据《政府采购促进中小企业发展管理办法》（财库〔2020〕46号）文件，本项目专门面向中小企业采购（中小微企业、监狱企业、残疾人福利性单位）。1、投标人须提供《中小企业声明函》；2、监狱企业参加采购活动时，可不提供《中小企业声明函》，应提供由省级以上监狱管理局、戒毒管理局（含新疆生产建设兵团）出具的属于监狱企业的证明文件，监狱企业视同小型、微型企业； 3、符合条件的残疾人福利性单位参加采购活动时，应提供《残疾人福利性单位声明函》，并对声明的真实性负责。残疾人福利性单位视同小型、微型企业。※投标人应按照招标文件第七章 规定提供《中小企业声明函》或《残疾人福利性单位声明函》。(本项目为服务类采购项目，采购标的对应的中小企业划分标准所属行业为：其他未列明行业。）</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sz w:val="28"/>
          <w:b/>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sz w:val="28"/>
          <w:b/>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sz w:val="28"/>
          <w:b/>
        </w:rPr>
        <w:t>9、开标时间及地点</w:t>
      </w:r>
    </w:p>
    <w:p>
      <w:pPr>
        <w:pStyle w:val="null3"/>
        <w:ind w:firstLine="960"/>
        <w:jc w:val="both"/>
      </w:pPr>
      <w:r>
        <w:rPr/>
        <w:t>详见招标公告或更正公告，若不一致，以更正公告为准。</w:t>
      </w:r>
    </w:p>
    <w:p>
      <w:pPr>
        <w:pStyle w:val="null3"/>
        <w:ind w:firstLine="480"/>
        <w:jc w:val="both"/>
        <w:outlineLvl w:val="2"/>
      </w:pPr>
      <w:r>
        <w:rPr>
          <w:sz w:val="28"/>
          <w:b/>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sz w:val="28"/>
          <w:b/>
        </w:rPr>
        <w:t>11、采购人</w:t>
      </w:r>
      <w:r>
        <w:rPr>
          <w:sz w:val="28"/>
          <w:b/>
        </w:rPr>
        <w:t>：</w:t>
      </w:r>
      <w:r>
        <w:rPr>
          <w:sz w:val="28"/>
          <w:b/>
        </w:rPr>
        <w:t>福建省交通信息通信与应急处置中心</w:t>
      </w:r>
    </w:p>
    <w:p>
      <w:pPr>
        <w:pStyle w:val="null3"/>
        <w:ind w:firstLine="960"/>
        <w:jc w:val="left"/>
      </w:pPr>
      <w:r>
        <w:rPr/>
        <w:t xml:space="preserve"> 地址： </w:t>
      </w:r>
      <w:r>
        <w:rPr/>
        <w:t>福建省福州市鼓楼区东水路18号交通综合大楼28楼</w:t>
      </w:r>
    </w:p>
    <w:p>
      <w:pPr>
        <w:pStyle w:val="null3"/>
        <w:jc w:val="left"/>
      </w:pPr>
      <w:r>
        <w:rPr/>
        <w:t xml:space="preserve"> 邮编： </w:t>
      </w:r>
      <w:r>
        <w:rPr/>
        <w:t>350001</w:t>
      </w:r>
    </w:p>
    <w:p>
      <w:pPr>
        <w:pStyle w:val="null3"/>
        <w:jc w:val="left"/>
      </w:pPr>
      <w:r>
        <w:rPr/>
        <w:t xml:space="preserve"> 联系人： </w:t>
      </w:r>
      <w:r>
        <w:rPr/>
        <w:t>陈梦娟</w:t>
      </w:r>
    </w:p>
    <w:p>
      <w:pPr>
        <w:pStyle w:val="null3"/>
        <w:jc w:val="left"/>
      </w:pPr>
      <w:r>
        <w:rPr/>
        <w:t xml:space="preserve"> 联系电话： </w:t>
      </w:r>
      <w:r>
        <w:rPr/>
        <w:t>0591-87087284</w:t>
      </w:r>
    </w:p>
    <w:p>
      <w:pPr>
        <w:pStyle w:val="null3"/>
        <w:ind w:firstLine="480"/>
        <w:jc w:val="left"/>
        <w:outlineLvl w:val="2"/>
      </w:pPr>
      <w:r>
        <w:rPr>
          <w:sz w:val="28"/>
          <w:b/>
        </w:rPr>
        <w:t>12、代理机构</w:t>
      </w:r>
      <w:r>
        <w:rPr>
          <w:sz w:val="28"/>
          <w:b/>
        </w:rPr>
        <w:t>：</w:t>
      </w:r>
      <w:r>
        <w:rPr>
          <w:sz w:val="28"/>
          <w:b/>
        </w:rPr>
        <w:t>福建省天海招标有限公司</w:t>
      </w:r>
    </w:p>
    <w:p>
      <w:pPr>
        <w:pStyle w:val="null3"/>
        <w:ind w:firstLine="960"/>
        <w:jc w:val="both"/>
      </w:pPr>
      <w:r>
        <w:rPr/>
        <w:t xml:space="preserve"> 地址： </w:t>
      </w:r>
      <w:r>
        <w:rPr/>
        <w:t>鼓东街道营迹路69号恒力创富中心西塔8层</w:t>
      </w:r>
    </w:p>
    <w:p>
      <w:pPr>
        <w:pStyle w:val="null3"/>
        <w:jc w:val="both"/>
      </w:pPr>
      <w:r>
        <w:rPr/>
        <w:t xml:space="preserve"> 邮编： </w:t>
      </w:r>
      <w:r>
        <w:rPr/>
        <w:t>350001</w:t>
      </w:r>
    </w:p>
    <w:p>
      <w:pPr>
        <w:pStyle w:val="null3"/>
        <w:jc w:val="both"/>
      </w:pPr>
      <w:r>
        <w:rPr/>
        <w:t xml:space="preserve"> 联系人： </w:t>
      </w:r>
      <w:r>
        <w:rPr/>
        <w:t xml:space="preserve"> 杨静、陈伟杰</w:t>
      </w:r>
    </w:p>
    <w:p>
      <w:pPr>
        <w:pStyle w:val="null3"/>
        <w:jc w:val="both"/>
      </w:pPr>
      <w:r>
        <w:rPr/>
        <w:t xml:space="preserve"> 联系电话： </w:t>
      </w:r>
      <w:r>
        <w:rPr/>
        <w:t>0591-87878462转806、825</w:t>
      </w:r>
    </w:p>
    <w:p>
      <w:pPr>
        <w:pStyle w:val="null3"/>
        <w:ind w:firstLine="480"/>
        <w:jc w:val="both"/>
        <w:outlineLvl w:val="2"/>
      </w:pPr>
      <w:r>
        <w:rPr>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福建省天海招标有限公司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sz w:val="28"/>
          <w:b/>
        </w:rPr>
        <w:t>附2：采购标的一览表</w:t>
      </w:r>
    </w:p>
    <w:p>
      <w:pPr>
        <w:pStyle w:val="null3"/>
        <w:jc w:val="left"/>
      </w:pPr>
      <w:r>
        <w:rPr/>
        <w:t>采购包1：</w:t>
      </w:r>
    </w:p>
    <w:p>
      <w:pPr>
        <w:pStyle w:val="null3"/>
        <w:jc w:val="left"/>
      </w:pPr>
      <w:r>
        <w:rPr/>
        <w:t>采购包预算金额（元）: 304,000.00</w:t>
      </w:r>
    </w:p>
    <w:p>
      <w:pPr>
        <w:pStyle w:val="null3"/>
        <w:jc w:val="left"/>
      </w:pPr>
      <w:r>
        <w:rPr/>
        <w:t>采购包最高限价（元）: 304,000.00</w:t>
      </w:r>
    </w:p>
    <w:p>
      <w:pPr>
        <w:pStyle w:val="null3"/>
        <w:jc w:val="left"/>
      </w:pPr>
      <w:r>
        <w:rPr/>
        <w:t>采购包保证金金额（元）: 3,000.00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2024年营运车辆卫星定位服务平台运行维护服务项目</w:t>
            </w:r>
          </w:p>
        </w:tc>
        <w:tc>
          <w:tcPr>
            <w:tcW w:type="dxa" w:w="1187"/>
          </w:tcPr>
          <w:p>
            <w:pPr>
              <w:pStyle w:val="null3"/>
              <w:jc w:val="right"/>
            </w:pPr>
            <w:r>
              <w:rPr/>
              <w:t>1.00</w:t>
            </w:r>
          </w:p>
        </w:tc>
        <w:tc>
          <w:tcPr>
            <w:tcW w:type="dxa" w:w="1187"/>
          </w:tcPr>
          <w:p>
            <w:pPr>
              <w:pStyle w:val="null3"/>
              <w:jc w:val="right"/>
            </w:pPr>
            <w:r>
              <w:rPr/>
              <w:t>304,000.00</w:t>
            </w:r>
          </w:p>
        </w:tc>
        <w:tc>
          <w:tcPr>
            <w:tcW w:type="dxa" w:w="1187"/>
          </w:tcPr>
          <w:p>
            <w:pPr>
              <w:pStyle w:val="null3"/>
              <w:jc w:val="left"/>
            </w:pPr>
            <w:r>
              <w:rPr/>
              <w:t>项</w:t>
            </w:r>
          </w:p>
        </w:tc>
        <w:tc>
          <w:tcPr>
            <w:tcW w:type="dxa" w:w="1187"/>
          </w:tcPr>
          <w:p>
            <w:pPr>
              <w:pStyle w:val="null3"/>
              <w:jc w:val="left"/>
            </w:pPr>
            <w:r>
              <w:rPr/>
              <w:t>其他未列明行业</w:t>
            </w:r>
          </w:p>
        </w:tc>
        <w:tc>
          <w:tcPr>
            <w:tcW w:type="dxa" w:w="1187"/>
          </w:tcPr>
          <w:p>
            <w:pPr>
              <w:pStyle w:val="null3"/>
              <w:jc w:val="left"/>
            </w:pPr>
            <w:r>
              <w:rPr/>
              <w:t>否</w:t>
            </w:r>
          </w:p>
        </w:tc>
      </w:tr>
    </w:tbl>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t>序号</w:t>
            </w:r>
          </w:p>
        </w:tc>
        <w:tc>
          <w:tcPr>
            <w:tcW w:type="dxa" w:w="3046"/>
          </w:tcPr>
          <w:p>
            <w:pPr>
              <w:pStyle w:val="null3"/>
              <w:jc w:val="left"/>
            </w:pPr>
            <w:r>
              <w:rPr/>
              <w:t>报价内容</w:t>
            </w:r>
          </w:p>
        </w:tc>
        <w:tc>
          <w:tcPr>
            <w:tcW w:type="dxa" w:w="554"/>
          </w:tcPr>
          <w:p>
            <w:pPr>
              <w:pStyle w:val="null3"/>
              <w:jc w:val="left"/>
            </w:pPr>
            <w:r>
              <w:rPr/>
              <w:t>计量单位</w:t>
            </w:r>
          </w:p>
        </w:tc>
        <w:tc>
          <w:tcPr>
            <w:tcW w:type="dxa" w:w="554"/>
          </w:tcPr>
          <w:p>
            <w:pPr>
              <w:pStyle w:val="null3"/>
              <w:jc w:val="left"/>
            </w:pPr>
            <w:r>
              <w:rPr/>
              <w:t>报价单位</w:t>
            </w:r>
          </w:p>
        </w:tc>
        <w:tc>
          <w:tcPr>
            <w:tcW w:type="dxa" w:w="1384"/>
          </w:tcPr>
          <w:p>
            <w:pPr>
              <w:pStyle w:val="null3"/>
              <w:jc w:val="left"/>
            </w:pPr>
            <w:r>
              <w:rPr/>
              <w:t>最高限价</w:t>
            </w:r>
          </w:p>
        </w:tc>
        <w:tc>
          <w:tcPr>
            <w:tcW w:type="dxa" w:w="1384"/>
          </w:tcPr>
          <w:p>
            <w:pPr>
              <w:pStyle w:val="null3"/>
              <w:jc w:val="left"/>
            </w:pPr>
            <w:r>
              <w:rPr/>
              <w:t>价款形式</w:t>
            </w:r>
          </w:p>
        </w:tc>
        <w:tc>
          <w:tcPr>
            <w:tcW w:type="dxa" w:w="1038"/>
          </w:tcPr>
          <w:p>
            <w:pPr>
              <w:pStyle w:val="null3"/>
              <w:jc w:val="left"/>
            </w:pPr>
            <w:r>
              <w:rPr/>
              <w:t>报价说明</w:t>
            </w:r>
          </w:p>
        </w:tc>
      </w:tr>
      <w:tr>
        <w:tc>
          <w:tcPr>
            <w:tcW w:type="dxa" w:w="346"/>
          </w:tcPr>
          <w:p>
            <w:pPr>
              <w:pStyle w:val="null3"/>
              <w:jc w:val="left"/>
            </w:pPr>
            <w:r>
              <w:rPr/>
              <w:t>1</w:t>
            </w:r>
          </w:p>
        </w:tc>
        <w:tc>
          <w:tcPr>
            <w:tcW w:type="dxa" w:w="3046"/>
          </w:tcPr>
          <w:p>
            <w:pPr>
              <w:pStyle w:val="null3"/>
              <w:jc w:val="left"/>
            </w:pPr>
            <w:r>
              <w:rPr/>
              <w:t>2024年营运车辆卫星定位服务平台运行维护服务项目</w:t>
            </w:r>
          </w:p>
        </w:tc>
        <w:tc>
          <w:tcPr>
            <w:tcW w:type="dxa" w:w="554"/>
          </w:tcPr>
          <w:p>
            <w:pPr>
              <w:pStyle w:val="null3"/>
              <w:jc w:val="left"/>
            </w:pPr>
            <w:r>
              <w:rPr/>
              <w:t>项</w:t>
            </w:r>
          </w:p>
        </w:tc>
        <w:tc>
          <w:tcPr>
            <w:tcW w:type="dxa" w:w="554"/>
          </w:tcPr>
          <w:p>
            <w:pPr>
              <w:pStyle w:val="null3"/>
              <w:jc w:val="left"/>
            </w:pPr>
            <w:r>
              <w:rPr/>
              <w:t>元</w:t>
            </w:r>
          </w:p>
        </w:tc>
        <w:tc>
          <w:tcPr>
            <w:tcW w:type="dxa" w:w="1384"/>
          </w:tcPr>
          <w:p>
            <w:pPr>
              <w:pStyle w:val="null3"/>
              <w:jc w:val="right"/>
            </w:pPr>
            <w:r>
              <w:rPr/>
              <w:t>304,000.00</w:t>
            </w:r>
          </w:p>
        </w:tc>
        <w:tc>
          <w:tcPr>
            <w:tcW w:type="dxa" w:w="1384"/>
          </w:tcPr>
          <w:p>
            <w:pPr>
              <w:pStyle w:val="null3"/>
              <w:jc w:val="left"/>
            </w:pPr>
            <w:r>
              <w:rPr/>
              <w:t>总价</w:t>
            </w:r>
          </w:p>
        </w:tc>
        <w:tc>
          <w:tcPr>
            <w:tcW w:type="dxa" w:w="1038"/>
          </w:tcPr>
          <w:p>
            <w:pPr>
              <w:pStyle w:val="null3"/>
              <w:jc w:val="left"/>
            </w:pPr>
            <w:r>
              <w:rPr/>
              <w:t>无</w:t>
            </w:r>
          </w:p>
        </w:tc>
      </w:tr>
    </w:tbl>
    <w:p>
      <w:pPr>
        <w:pStyle w:val="null3"/>
        <w:jc w:val="left"/>
      </w:pPr>
      <w:r>
        <w:rPr/>
        <w:t>（2）报价明细要求：</w:t>
      </w:r>
    </w:p>
    <w:p>
      <w:pPr>
        <w:pStyle w:val="null3"/>
        <w:jc w:val="left"/>
      </w:pPr>
      <w:r>
        <w:rPr/>
        <w:t>2024年营运车辆卫星定位服务平台运行维护服务项目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t>序号</w:t>
            </w:r>
          </w:p>
        </w:tc>
        <w:tc>
          <w:tcPr>
            <w:tcW w:type="dxa" w:w="2076"/>
          </w:tcPr>
          <w:p>
            <w:pPr>
              <w:pStyle w:val="null3"/>
              <w:jc w:val="left"/>
            </w:pPr>
            <w:r>
              <w:rPr/>
              <w:t>报价明细内容</w:t>
            </w:r>
          </w:p>
        </w:tc>
        <w:tc>
          <w:tcPr>
            <w:tcW w:type="dxa" w:w="2076"/>
          </w:tcPr>
          <w:p>
            <w:pPr>
              <w:pStyle w:val="null3"/>
              <w:jc w:val="left"/>
            </w:pPr>
            <w:r>
              <w:rPr/>
              <w:t>报价要求</w:t>
            </w:r>
          </w:p>
        </w:tc>
        <w:tc>
          <w:tcPr>
            <w:tcW w:type="dxa" w:w="415"/>
          </w:tcPr>
          <w:p>
            <w:pPr>
              <w:pStyle w:val="null3"/>
              <w:jc w:val="left"/>
            </w:pPr>
            <w:r>
              <w:rPr/>
              <w:t>计量单位</w:t>
            </w:r>
          </w:p>
        </w:tc>
        <w:tc>
          <w:tcPr>
            <w:tcW w:type="dxa" w:w="415"/>
          </w:tcPr>
          <w:p>
            <w:pPr>
              <w:pStyle w:val="null3"/>
              <w:jc w:val="left"/>
            </w:pPr>
            <w:r>
              <w:rPr/>
              <w:t>报价单位</w:t>
            </w:r>
          </w:p>
        </w:tc>
        <w:tc>
          <w:tcPr>
            <w:tcW w:type="dxa" w:w="831"/>
          </w:tcPr>
          <w:p>
            <w:pPr>
              <w:pStyle w:val="null3"/>
              <w:jc w:val="left"/>
            </w:pPr>
            <w:r>
              <w:rPr/>
              <w:t>最高限价</w:t>
            </w:r>
          </w:p>
        </w:tc>
        <w:tc>
          <w:tcPr>
            <w:tcW w:type="dxa" w:w="831"/>
          </w:tcPr>
          <w:p>
            <w:pPr>
              <w:pStyle w:val="null3"/>
              <w:jc w:val="left"/>
            </w:pPr>
            <w:r>
              <w:rPr/>
              <w:t>价款形式</w:t>
            </w:r>
          </w:p>
        </w:tc>
        <w:tc>
          <w:tcPr>
            <w:tcW w:type="dxa" w:w="1246"/>
          </w:tcPr>
          <w:p>
            <w:pPr>
              <w:pStyle w:val="null3"/>
              <w:jc w:val="left"/>
            </w:pPr>
            <w:r>
              <w:rPr/>
              <w:t>报价说明</w:t>
            </w:r>
          </w:p>
        </w:tc>
      </w:tr>
      <w:tr>
        <w:tc>
          <w:tcPr>
            <w:tcW w:type="dxa" w:w="415"/>
          </w:tcPr>
          <w:p>
            <w:pPr>
              <w:pStyle w:val="null3"/>
              <w:jc w:val="left"/>
            </w:pPr>
            <w:r>
              <w:rPr/>
              <w:t>1</w:t>
            </w:r>
          </w:p>
        </w:tc>
        <w:tc>
          <w:tcPr>
            <w:tcW w:type="dxa" w:w="2076"/>
          </w:tcPr>
          <w:p>
            <w:pPr>
              <w:pStyle w:val="null3"/>
              <w:jc w:val="left"/>
            </w:pPr>
            <w:r>
              <w:rPr/>
              <w:t>2024年营运车辆卫星定位服务平台运行维护服务项目</w:t>
            </w:r>
          </w:p>
        </w:tc>
        <w:tc>
          <w:tcPr>
            <w:tcW w:type="dxa" w:w="2076"/>
          </w:tcPr>
          <w:p>
            <w:pPr>
              <w:pStyle w:val="null3"/>
              <w:jc w:val="left"/>
            </w:pPr>
            <w:r>
              <w:rPr/>
              <w:t>2024年营运车辆卫星定位服务平台运行维护服务项目</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304,000.00</w:t>
            </w:r>
          </w:p>
        </w:tc>
        <w:tc>
          <w:tcPr>
            <w:tcW w:type="dxa" w:w="831"/>
          </w:tcPr>
          <w:p>
            <w:pPr>
              <w:pStyle w:val="null3"/>
              <w:jc w:val="left"/>
            </w:pPr>
            <w:r>
              <w:rPr/>
              <w:t>总价</w:t>
            </w:r>
          </w:p>
        </w:tc>
        <w:tc>
          <w:tcPr>
            <w:tcW w:type="dxa" w:w="1246"/>
          </w:tcPr>
          <w:p>
            <w:pPr>
              <w:pStyle w:val="null3"/>
              <w:jc w:val="left"/>
            </w:pPr>
            <w:r>
              <w:rPr/>
              <w:t>无</w:t>
            </w:r>
          </w:p>
        </w:tc>
      </w:tr>
    </w:tbl>
    <w:p>
      <w:pPr>
        <w:pStyle w:val="null3"/>
      </w:pPr>
      <w:r>
        <w:rPr/>
        <w:t xml:space="preserve"> </w:t>
        <w:br/>
        <w:br w:type="page"/>
      </w:r>
    </w:p>
    <w:p>
      <w:pPr>
        <w:pStyle w:val="null3"/>
        <w:jc w:val="center"/>
        <w:outlineLvl w:val="1"/>
      </w:pPr>
      <w:r>
        <w:rPr>
          <w:sz w:val="36"/>
          <w:b/>
        </w:rPr>
        <w:t>第二章 投标人须知前附表</w:t>
      </w:r>
    </w:p>
    <w:p>
      <w:pPr>
        <w:pStyle w:val="null3"/>
        <w:ind w:firstLine="480"/>
        <w:jc w:val="both"/>
        <w:outlineLvl w:val="2"/>
      </w:pPr>
      <w:r>
        <w:rPr>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（1） </w:t>
            </w:r>
            <w:r>
              <w:rPr/>
              <w:t>采购人应在政府采购招投标管理办法规定的时限内确定中标人。</w:t>
            </w:r>
          </w:p>
          <w:p>
            <w:pPr>
              <w:pStyle w:val="null3"/>
              <w:jc w:val="left"/>
            </w:pPr>
            <w:r>
              <w:rPr/>
              <w:t>（2）若出现中标候选人并列情形，则按照下列方式确定中标人：</w:t>
            </w:r>
          </w:p>
          <w:p>
            <w:pPr>
              <w:pStyle w:val="null3"/>
              <w:jc w:val="left"/>
            </w:pPr>
            <w:r>
              <w:rPr/>
              <w:t>①招标文件规定的方式：</w:t>
            </w:r>
          </w:p>
          <w:p>
            <w:pPr>
              <w:pStyle w:val="null3"/>
              <w:jc w:val="left"/>
            </w:pPr>
            <w:r>
              <w:rPr/>
              <w:t>无</w:t>
            </w:r>
          </w:p>
          <w:p>
            <w:pPr>
              <w:pStyle w:val="null3"/>
              <w:jc w:val="left"/>
            </w:pPr>
            <w:r>
              <w:rPr/>
              <w:t>②若本款第①点规定方式为“无”，则按照下列方式确定：</w:t>
            </w:r>
          </w:p>
          <w:p>
            <w:pPr>
              <w:pStyle w:val="null3"/>
              <w:jc w:val="left"/>
            </w:pPr>
            <w:r>
              <w:rPr/>
              <w:t>无</w:t>
            </w:r>
          </w:p>
          <w:p>
            <w:pPr>
              <w:pStyle w:val="null3"/>
              <w:jc w:val="left"/>
            </w:pPr>
            <w:r>
              <w:rPr/>
              <w:t>③若本款第①、②点规定方式均为“无”，则按照下列方式确定：随机抽取。</w:t>
            </w:r>
          </w:p>
          <w:p>
            <w:pPr>
              <w:pStyle w:val="null3"/>
              <w:jc w:val="left"/>
            </w:pPr>
            <w:r>
              <w:rPr/>
              <w:t>（3）本项目确定的中标人家数：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福建省天海招标有限公司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福建省交通信息通信与应急处置中心</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招标代理服务费（采购代理服务费）按省交通工程造价站与招标代理机构签订的招标代理委托协议的文件精神执行。即参照计价格[2002]1980号规定收费标准，采购项目中标（成交）金额100万以下的下浮20%，采购项目中标（成交）金额100万元（含）以上的下浮50%，最低按2000元执行。中标金额（万元）招标代理服务费专户：户名：福建省天海招标有限公司 账号：1501014170012067 开户行：中国民生银行福州湖东支行b、领取中标通知书：携带委托书，联系财务 0591-87878462-777。</w:t>
            </w:r>
          </w:p>
          <w:p>
            <w:pPr>
              <w:pStyle w:val="null3"/>
              <w:jc w:val="left"/>
            </w:pPr>
            <w:r>
              <w:rPr/>
              <w:t xml:space="preserve"> (2)其他：</w:t>
            </w:r>
          </w:p>
          <w:p>
            <w:pPr>
              <w:pStyle w:val="null3"/>
              <w:jc w:val="left"/>
            </w:pPr>
            <w:r>
              <w:rPr/>
              <w:t>①投标人在递质疑函时除应提供本招标文件规定的相关材料外，还须提供福建省政府采购网上公开信息系统本项目的报名截图复印件，否则递交的质疑函将不予受理。在法定质疑期内质疑人须一次性提出针对同一采购程序环节的质疑，二（多）次质疑不予受理。 ②在招标文件中，一般资格证明文件财务状况报告（财务报告、或资信证明、或投标担保函）规定，“1.1成立年限满1年及以上的投标人，提供经审计的上一年度的年度财务报告”。“上一年度”是指2023年度，成立年限满1年及以上的投标人,若无法提供2023年度经审计的财务报告，须按招标文件要求提供有效的资信证明或投标担保函。</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 xml:space="preserve"> （2）将招标文件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 xml:space="preserve"> （3）将下列内容增列为招标文件的组成部分（以下简称：“增列内容”）适用本项目的电子招标投标活动，若增列内容与招标文件其他章节内容有冲突，应以增列内容为准：</w:t>
            </w:r>
          </w:p>
          <w:p>
            <w:pPr>
              <w:pStyle w:val="null3"/>
              <w:jc w:val="left"/>
            </w:pPr>
            <w:r>
              <w:rPr/>
              <w:t xml:space="preserve"> ①电子招标投标活动的具体操作流程以福建省政府采购网上公开信息系统设定的为准。</w:t>
            </w:r>
          </w:p>
          <w:p>
            <w:pPr>
              <w:pStyle w:val="null3"/>
              <w:jc w:val="left"/>
            </w:pPr>
            <w:r>
              <w:rPr/>
              <w:t xml:space="preserve"> ②关于电子投标文件：</w:t>
            </w:r>
          </w:p>
          <w:p>
            <w:pPr>
              <w:pStyle w:val="null3"/>
              <w:jc w:val="left"/>
            </w:pPr>
            <w:r>
              <w:rPr/>
              <w:t xml:space="preserve"> a.投标人应按照福建省政府采购网上公开信息系统设定的评审节点编制电子投标文件，否则资格审查小组、评标委员会将按照不利于投标人的内容进行认定。</w:t>
            </w:r>
          </w:p>
          <w:p>
            <w:pPr>
              <w:pStyle w:val="null3"/>
              <w:jc w:val="left"/>
            </w:pPr>
            <w:r>
              <w:rPr/>
              <w:t xml:space="preserve"> 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t xml:space="preserve"> ③关于证明材料或资料：</w:t>
            </w:r>
          </w:p>
          <w:p>
            <w:pPr>
              <w:pStyle w:val="null3"/>
              <w:jc w:val="left"/>
            </w:pPr>
            <w:r>
              <w:rPr/>
              <w:t xml:space="preserve"> 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 xml:space="preserve"> 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 xml:space="preserve"> ④关于“全称”、“投标人代表签字”及“加盖单位公章”：</w:t>
            </w:r>
          </w:p>
          <w:p>
            <w:pPr>
              <w:pStyle w:val="null3"/>
              <w:jc w:val="left"/>
            </w:pPr>
            <w:r>
              <w:rPr/>
              <w:t xml:space="preserve"> a.在电子投标文件中，涉及“全称”和“投标人代表签字”的内容可使用打字录入方式完成。</w:t>
            </w:r>
          </w:p>
          <w:p>
            <w:pPr>
              <w:pStyle w:val="null3"/>
              <w:jc w:val="left"/>
            </w:pPr>
            <w:r>
              <w:rPr/>
              <w:t xml:space="preserve"> b.在电子投标文件中，涉及“加盖单位公章”的内容应使用投标人的CA证书完成，否则投标无效。</w:t>
            </w:r>
          </w:p>
          <w:p>
            <w:pPr>
              <w:pStyle w:val="null3"/>
              <w:jc w:val="left"/>
            </w:pPr>
            <w:r>
              <w:rPr/>
              <w:t xml:space="preserve"> c.在电子投标文件中，若投标人按照本增列内容第④点第b项规定加盖其单位公章，则出现无全称、或投标人代表未签字等情形，不视为投标无效。</w:t>
            </w:r>
          </w:p>
          <w:p>
            <w:pPr>
              <w:pStyle w:val="null3"/>
              <w:jc w:val="left"/>
            </w:pPr>
            <w:r>
              <w:rPr/>
              <w:t xml:space="preserve"> ⑤关于投标人的CA证书：</w:t>
            </w:r>
          </w:p>
          <w:p>
            <w:pPr>
              <w:pStyle w:val="null3"/>
              <w:jc w:val="left"/>
            </w:pPr>
            <w:r>
              <w:rPr/>
              <w:t xml:space="preserve"> a.投标人的CA证书应在系统规定时间内使用CA证书进行电子投标文件的解密操作，逾期未解密的视为放弃投标。</w:t>
            </w:r>
          </w:p>
          <w:p>
            <w:pPr>
              <w:pStyle w:val="null3"/>
              <w:jc w:val="left"/>
            </w:pPr>
            <w:r>
              <w:rPr/>
              <w:t xml:space="preserve"> b.投标人的CA证书可采用信封（包括但不限于：信封、档案袋、文件袋等）作为外包装进行单独包装。外包装密封、不密封皆可。</w:t>
            </w:r>
          </w:p>
          <w:p>
            <w:pPr>
              <w:pStyle w:val="null3"/>
              <w:jc w:val="left"/>
            </w:pPr>
            <w:r>
              <w:rPr/>
              <w:t xml:space="preserve"> c.投标人的CA证书或外包装应标记“项目名称、项目编号、投标人的全称”等内容，以方便识别、使用。</w:t>
            </w:r>
          </w:p>
          <w:p>
            <w:pPr>
              <w:pStyle w:val="null3"/>
              <w:jc w:val="left"/>
            </w:pPr>
            <w:r>
              <w:rPr/>
              <w:t xml:space="preserve"> d.投标人的CA证书应能正常、有效使用，否则产生不利后果由投标人承担责任。</w:t>
            </w:r>
          </w:p>
          <w:p>
            <w:pPr>
              <w:pStyle w:val="null3"/>
              <w:jc w:val="left"/>
            </w:pPr>
            <w:r>
              <w:rPr/>
              <w:t xml:space="preserve"> ⑥关于投标截止时间过后</w:t>
            </w:r>
          </w:p>
          <w:p>
            <w:pPr>
              <w:pStyle w:val="null3"/>
              <w:jc w:val="left"/>
            </w:pPr>
            <w:r>
              <w:rPr/>
              <w:t xml:space="preserve"> a.未按招标文件规定提交投标保证金的，其投标将按无效投标处理。</w:t>
            </w:r>
          </w:p>
          <w:p>
            <w:pPr>
              <w:pStyle w:val="null3"/>
              <w:jc w:val="left"/>
            </w:pPr>
            <w:r>
              <w:rPr/>
              <w:t xml:space="preserve"> b.有下列情形之一的，其投标无效,其保证金不予退还或通过投标保函进行索赔：</w:t>
            </w:r>
          </w:p>
          <w:p>
            <w:pPr>
              <w:pStyle w:val="null3"/>
              <w:jc w:val="left"/>
            </w:pPr>
            <w:r>
              <w:rPr/>
              <w:t xml:space="preserve"> b1不同投标人的电子投标文件具有相同内部识别码；</w:t>
            </w:r>
          </w:p>
          <w:p>
            <w:pPr>
              <w:pStyle w:val="null3"/>
              <w:jc w:val="left"/>
            </w:pPr>
            <w:r>
              <w:rPr/>
              <w:t xml:space="preserve"> b2不同投标人的投标保证金从同一单位或个人的账户转出；</w:t>
            </w:r>
          </w:p>
          <w:p>
            <w:pPr>
              <w:pStyle w:val="null3"/>
              <w:jc w:val="left"/>
            </w:pPr>
            <w:r>
              <w:rPr/>
              <w:t xml:space="preserve"> b3投标人的投标保证金同一采购包下有其他投标人提交的投标保证金；</w:t>
            </w:r>
          </w:p>
          <w:p>
            <w:pPr>
              <w:pStyle w:val="null3"/>
              <w:jc w:val="left"/>
            </w:pPr>
            <w:r>
              <w:rPr/>
              <w:t xml:space="preserve"> b4不同投标人存在串通投标的其他情形。</w:t>
            </w:r>
          </w:p>
          <w:p>
            <w:pPr>
              <w:pStyle w:val="null3"/>
              <w:jc w:val="left"/>
            </w:pPr>
            <w:r>
              <w:rPr/>
              <w:t xml:space="preserve"> 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 xml:space="preserve"> ⑧其他：</w:t>
            </w:r>
          </w:p>
          <w:p>
            <w:pPr>
              <w:pStyle w:val="null3"/>
              <w:jc w:val="left"/>
            </w:pPr>
            <w:r>
              <w:rPr/>
              <w:t>无</w:t>
            </w:r>
          </w:p>
        </w:tc>
      </w:tr>
    </w:tbl>
    <w:p>
      <w:pPr>
        <w:pStyle w:val="null3"/>
      </w:pPr>
      <w:r>
        <w:rPr/>
        <w:t xml:space="preserve"> </w:t>
        <w:br/>
        <w:br w:type="page"/>
      </w:r>
    </w:p>
    <w:p>
      <w:pPr>
        <w:pStyle w:val="null3"/>
        <w:jc w:val="center"/>
        <w:outlineLvl w:val="1"/>
      </w:pPr>
      <w:r>
        <w:rPr>
          <w:sz w:val="36"/>
          <w:b/>
        </w:rPr>
        <w:t>第三章 投标人须知</w:t>
      </w:r>
    </w:p>
    <w:p>
      <w:pPr>
        <w:pStyle w:val="null3"/>
        <w:ind w:firstLine="480"/>
        <w:jc w:val="both"/>
        <w:outlineLvl w:val="2"/>
      </w:pPr>
      <w:r>
        <w:rPr>
          <w:sz w:val="28"/>
          <w:b/>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sz w:val="28"/>
          <w:b/>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sz w:val="28"/>
          <w:b/>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福建省天海招标有限公司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福建省天海招标有限公司</w:t>
      </w:r>
      <w:r>
        <w:rPr/>
        <w:t xml:space="preserve"> 将在投标截止时间至少15个日历日前，在招标文件载明的指定媒体以更正公告的形式发布澄清或修改的内容。不足15个日历日的， </w:t>
      </w:r>
      <w:r>
        <w:rPr/>
        <w:t>福建省天海招标有限公司</w:t>
      </w:r>
      <w:r>
        <w:rPr/>
        <w:t xml:space="preserve"> 将顺延投标截止时间及开标时间， </w:t>
      </w:r>
      <w:r>
        <w:rPr/>
        <w:t>福建省天海招标有限公司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福建省天海招标有限公司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福建省天海招标有限公司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福建省天海招标有限公司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福建省天海招标有限公司</w:t>
      </w:r>
      <w:r>
        <w:rPr/>
        <w:t xml:space="preserve"> 可终止招标并发布终止公告。</w:t>
      </w:r>
    </w:p>
    <w:p>
      <w:pPr>
        <w:pStyle w:val="null3"/>
        <w:ind w:firstLine="480"/>
        <w:jc w:val="both"/>
      </w:pPr>
      <w:r>
        <w:rPr/>
        <w:t xml:space="preserve">8.2终止公告作为 </w:t>
      </w:r>
      <w:r>
        <w:rPr/>
        <w:t>福建省天海招标有限公司</w:t>
      </w:r>
      <w:r>
        <w:rPr/>
        <w:t xml:space="preserve"> 通知所有潜在投标人的书面形式。</w:t>
      </w:r>
    </w:p>
    <w:p>
      <w:pPr>
        <w:pStyle w:val="null3"/>
        <w:ind w:firstLine="480"/>
        <w:jc w:val="both"/>
        <w:outlineLvl w:val="2"/>
      </w:pPr>
      <w:r>
        <w:rPr>
          <w:sz w:val="28"/>
          <w:b/>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①开标（报价）一览表</w:t>
      </w:r>
    </w:p>
    <w:p>
      <w:pPr>
        <w:pStyle w:val="null3"/>
        <w:ind w:firstLine="480"/>
        <w:jc w:val="both"/>
      </w:pPr>
      <w:r>
        <w:rPr/>
        <w:t>②投标（响应）报价明细表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福建省天海招标有限公司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福建省天海招标有限公司</w:t>
      </w:r>
      <w:r>
        <w:rPr/>
        <w:t xml:space="preserve"> 可于投标有效期届满之前书面要求投标人延长投标有效期，投标人应在 </w:t>
      </w:r>
      <w:r>
        <w:rPr/>
        <w:t>福建省天海招标有限公司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福建省天海招标有限公司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福建省天海招标有限公司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福建省天海招标有限公司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sz w:val="28"/>
          <w:b/>
        </w:rPr>
        <w:t>五、开标</w:t>
      </w:r>
    </w:p>
    <w:p>
      <w:pPr>
        <w:pStyle w:val="null3"/>
        <w:ind w:firstLine="480"/>
        <w:jc w:val="both"/>
      </w:pPr>
      <w:r>
        <w:rPr/>
        <w:t>11、开标</w:t>
      </w:r>
    </w:p>
    <w:p>
      <w:pPr>
        <w:pStyle w:val="null3"/>
        <w:ind w:firstLine="480"/>
        <w:jc w:val="both"/>
      </w:pPr>
      <w:r>
        <w:rPr/>
        <w:t xml:space="preserve">11.1 </w:t>
      </w:r>
      <w:r>
        <w:rPr/>
        <w:t>福建省天海招标有限公司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福建省天海招标有限公司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福建省天海招标有限公司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福建省天海招标有限公司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sz w:val="28"/>
          <w:b/>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福建省天海招标有限公司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福建省天海招标有限公司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sz w:val="28"/>
          <w:b/>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福建省天海招标有限公司</w:t>
      </w:r>
      <w:r>
        <w:rPr/>
        <w:t xml:space="preserve"> 提出询问， </w:t>
      </w:r>
      <w:r>
        <w:rPr/>
        <w:t>福建省天海招标有限公司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福建省天海招标有限公司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sz w:val="28"/>
          <w:b/>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sz w:val="28"/>
          <w:b/>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sz w:val="28"/>
          <w:b/>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sz w:val="36"/>
          <w:b/>
        </w:rPr>
        <w:t>第四章 资格审查与评标</w:t>
      </w:r>
    </w:p>
    <w:p>
      <w:pPr>
        <w:pStyle w:val="null3"/>
        <w:jc w:val="both"/>
        <w:outlineLvl w:val="2"/>
      </w:pPr>
      <w:r>
        <w:rPr>
          <w:sz w:val="28"/>
          <w:b/>
        </w:rPr>
        <w:t>一、资格审查</w:t>
      </w:r>
    </w:p>
    <w:p>
      <w:pPr>
        <w:pStyle w:val="null3"/>
        <w:ind w:firstLine="480"/>
        <w:jc w:val="both"/>
      </w:pPr>
      <w:r>
        <w:rPr/>
        <w:t xml:space="preserve">1、开标结束后，由 </w:t>
      </w:r>
      <w:r>
        <w:rPr/>
        <w:t>福建省天海招标有限公司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由福建省天海招标有限公司派出的工作人员至少1人，</w:t>
      </w:r>
      <w:r>
        <w:rPr/>
        <w:t>其余1人可为采购人代表或福建省天海招标有限公司的工作人员。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本采购包属于专门面向中小企业采购。</w:t>
            </w:r>
          </w:p>
        </w:tc>
        <w:tc>
          <w:tcPr>
            <w:tcW w:type="dxa" w:w="4614"/>
          </w:tcPr>
          <w:p>
            <w:pPr>
              <w:pStyle w:val="null3"/>
              <w:jc w:val="left"/>
            </w:pPr>
            <w:r>
              <w:rPr/>
              <w:t>根据《政府采购促进中小企业发展管理办法》（财库〔2020〕46号）文件，本项目专门面向中小企业采购（中小微企业、监狱企业、残疾人福利性单位）。1、投标人须提供《中小企业声明函》；2、监狱企业参加采购活动时，可不提供《中小企业声明函》，应提供由省级以上监狱管理局、戒毒管理局（含新疆生产建设兵团）出具的属于监狱企业的证明文件，监狱企业视同小型、微型企业； 3、符合条件的残疾人福利性单位参加采购活动时，应提供《残疾人福利性单位声明函》，并对声明的真实性负责。残疾人福利性单位视同小型、微型企业。※投标人应按照招标文件第七章 规定提供《中小企业声明函》或《残疾人福利性单位声明函》。(本项目为服务类采购项目，采购标的对应的中小企业划分标准所属行业为：其他未列明行业。）</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资格及资信证明部分中不得出现报价部分的全部或部分的投标报价信息（或组成资料），否则资格审查不合格。</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福建省天海招标有限公司</w:t>
      </w:r>
      <w:r>
        <w:rPr/>
        <w:t xml:space="preserve"> 统一对外发布。</w:t>
      </w:r>
    </w:p>
    <w:p>
      <w:pPr>
        <w:pStyle w:val="null3"/>
        <w:ind w:firstLine="480"/>
        <w:jc w:val="both"/>
      </w:pPr>
      <w:r>
        <w:rPr/>
        <w:t xml:space="preserve">3、资格审查合格的投标人不足三家的，不进行评标。同时，本次采购活动结束， </w:t>
      </w:r>
      <w:r>
        <w:rPr/>
        <w:t>福建省天海招标有限公司</w:t>
      </w:r>
      <w:r>
        <w:rPr/>
        <w:t xml:space="preserve"> 将依法组织后续采购活动（包括但不限于：重新招标、采用其他方式采购等）。</w:t>
      </w:r>
    </w:p>
    <w:p>
      <w:pPr>
        <w:pStyle w:val="null3"/>
        <w:jc w:val="both"/>
        <w:outlineLvl w:val="2"/>
      </w:pPr>
      <w:r>
        <w:rPr>
          <w:sz w:val="28"/>
          <w:b/>
        </w:rPr>
        <w:t>二、评标</w:t>
      </w:r>
    </w:p>
    <w:p>
      <w:pPr>
        <w:pStyle w:val="null3"/>
        <w:ind w:firstLine="480"/>
        <w:jc w:val="both"/>
      </w:pPr>
      <w:r>
        <w:rPr/>
        <w:t xml:space="preserve">4、资格审查结束后，由 </w:t>
      </w:r>
      <w:r>
        <w:rPr/>
        <w:t>福建省天海招标有限公司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福建省天海招标有限公司</w:t>
      </w:r>
      <w:r>
        <w:rPr/>
        <w:t xml:space="preserve"> 统一对外发布。</w:t>
      </w:r>
    </w:p>
    <w:p>
      <w:pPr>
        <w:pStyle w:val="null3"/>
        <w:ind w:firstLine="480"/>
        <w:jc w:val="both"/>
      </w:pPr>
      <w:r>
        <w:rPr/>
        <w:t xml:space="preserve">②对 </w:t>
      </w:r>
      <w:r>
        <w:rPr/>
        <w:t>福建省天海招标有限公司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1、投标文件的技术部分中出现报价部分的全部或部分的投标报价信息(或组成资料)；2、投标人的技术因素实际得分少于招标文件设定的技术因素总分50%的按无效投标处理。</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投标文件的商务部分中出现报价部分的全部或部分的投标报价信息(或组成资料)；2、招标文件第五章招标内容及要求中“三、商务条件（以“★”标示的内容为不允许负偏离的实质性要求）”，其全部条款内容均为“以“★”标示的内容”，即“均为不允许负偏离的实质性要求”。</w:t>
            </w:r>
          </w:p>
        </w:tc>
      </w:tr>
    </w:tbl>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①开标（报价）一览表内容与电子投标文件中相应内容不一致的，以开标（报价）一览表为准；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③单价金额小数点或百分比有明显错位的，以开标（报价）一览表的总价为准，并修改单价；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福建省天海招标有限公司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价格项（F1×A1）满分为20.0000分</w:t>
      </w:r>
    </w:p>
    <w:p>
      <w:pPr>
        <w:pStyle w:val="null3"/>
        <w:jc w:val="both"/>
      </w:pPr>
      <w:r>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技术项（F2×A2）满分为65.0000分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1、技术服务响应情况</w:t>
            </w:r>
          </w:p>
        </w:tc>
        <w:tc>
          <w:tcPr>
            <w:tcW w:type="dxa" w:w="831"/>
          </w:tcPr>
          <w:p>
            <w:pPr>
              <w:pStyle w:val="null3"/>
              <w:jc w:val="right"/>
            </w:pPr>
            <w:r>
              <w:rPr/>
              <w:t>38.0000</w:t>
            </w:r>
          </w:p>
        </w:tc>
        <w:tc>
          <w:tcPr>
            <w:tcW w:type="dxa" w:w="4153"/>
          </w:tcPr>
          <w:p>
            <w:pPr>
              <w:pStyle w:val="null3"/>
              <w:jc w:val="both"/>
            </w:pPr>
            <w:r>
              <w:rPr/>
              <w:t>根据投标人所投服务对招标文件《第五章招标内容及要求》的“二、技术和服务要求”的技术参数的响应、承诺情况，由评委进行评分， 完全满足的得38分，标注“★”符号的技术参数的条款（共计4 项）为实质性响应条款，一项负偏离按无效投标处理，未标注符号的技术参数（按项号序号计取为一项，共计19项）每负偏离一项扣 2 分。扣完为止，正偏离不加分。【注：技术响应情况须完整填列在《技术和服务要求响应表》中未填列或漏项的，评标委员会将按照不利于投标人的判定进行评审（即认定为负偏离）。】</w:t>
            </w:r>
          </w:p>
        </w:tc>
      </w:tr>
      <w:tr>
        <w:tc>
          <w:tcPr>
            <w:tcW w:type="dxa" w:w="3322"/>
          </w:tcPr>
          <w:p>
            <w:pPr>
              <w:pStyle w:val="null3"/>
              <w:jc w:val="both"/>
            </w:pPr>
            <w:r>
              <w:rPr/>
              <w:t>2、服务整体方案</w:t>
            </w:r>
          </w:p>
        </w:tc>
        <w:tc>
          <w:tcPr>
            <w:tcW w:type="dxa" w:w="831"/>
          </w:tcPr>
          <w:p>
            <w:pPr>
              <w:pStyle w:val="null3"/>
              <w:jc w:val="right"/>
            </w:pPr>
            <w:r>
              <w:rPr/>
              <w:t>3.0000</w:t>
            </w:r>
          </w:p>
        </w:tc>
        <w:tc>
          <w:tcPr>
            <w:tcW w:type="dxa" w:w="4153"/>
          </w:tcPr>
          <w:p>
            <w:pPr>
              <w:pStyle w:val="null3"/>
              <w:jc w:val="both"/>
            </w:pPr>
            <w:r>
              <w:rPr/>
              <w:t>根据投标人所提供的整体方案（包括但不限于：日常运维服务、 服务目标 、服务内容等）内容，由评委进行打分：要点齐全无缺漏项，整体说明层次清晰，理解透彻与项目实际需求相符的得3分；要点齐全，整体说明仅有纲要内容，阐述不完善的得2.9分；理解及说明内容存在缺漏的得2.7分，未提供或内容存在错误的不得分。</w:t>
            </w:r>
          </w:p>
        </w:tc>
      </w:tr>
      <w:tr>
        <w:tc>
          <w:tcPr>
            <w:tcW w:type="dxa" w:w="3322"/>
          </w:tcPr>
          <w:p>
            <w:pPr>
              <w:pStyle w:val="null3"/>
              <w:jc w:val="both"/>
            </w:pPr>
            <w:r>
              <w:rPr/>
              <w:t>3、安全保障方案</w:t>
            </w:r>
          </w:p>
        </w:tc>
        <w:tc>
          <w:tcPr>
            <w:tcW w:type="dxa" w:w="831"/>
          </w:tcPr>
          <w:p>
            <w:pPr>
              <w:pStyle w:val="null3"/>
              <w:jc w:val="right"/>
            </w:pPr>
            <w:r>
              <w:rPr/>
              <w:t>3.0000</w:t>
            </w:r>
          </w:p>
        </w:tc>
        <w:tc>
          <w:tcPr>
            <w:tcW w:type="dxa" w:w="4153"/>
          </w:tcPr>
          <w:p>
            <w:pPr>
              <w:pStyle w:val="null3"/>
              <w:jc w:val="both"/>
            </w:pPr>
            <w:r>
              <w:rPr/>
              <w:t>根据投标人对本项目安全保障方案（包括但不限于：系统安全服务、安全补丁等安全保障方案等）内容，由评委进行评议：要点齐全无缺漏项，整体说明层次清晰，理解透彻与项目实际需求相符的得3分；要点齐全，整体说明仅有纲要内容，阐述不完善的得2.9分；理解及说明内容存在缺漏的得2.7分，未提供或内容存在错误的不得分。</w:t>
            </w:r>
          </w:p>
        </w:tc>
      </w:tr>
      <w:tr>
        <w:tc>
          <w:tcPr>
            <w:tcW w:type="dxa" w:w="3322"/>
          </w:tcPr>
          <w:p>
            <w:pPr>
              <w:pStyle w:val="null3"/>
              <w:jc w:val="both"/>
            </w:pPr>
            <w:r>
              <w:rPr/>
              <w:t>4、系统功能运维方案</w:t>
            </w:r>
          </w:p>
        </w:tc>
        <w:tc>
          <w:tcPr>
            <w:tcW w:type="dxa" w:w="831"/>
          </w:tcPr>
          <w:p>
            <w:pPr>
              <w:pStyle w:val="null3"/>
              <w:jc w:val="right"/>
            </w:pPr>
            <w:r>
              <w:rPr/>
              <w:t>3.0000</w:t>
            </w:r>
          </w:p>
        </w:tc>
        <w:tc>
          <w:tcPr>
            <w:tcW w:type="dxa" w:w="4153"/>
          </w:tcPr>
          <w:p>
            <w:pPr>
              <w:pStyle w:val="null3"/>
              <w:jc w:val="both"/>
            </w:pPr>
            <w:r>
              <w:rPr/>
              <w:t>根据投标人对本项目该系统功能运维方案的（包括但不限于：各项功能的运维内容、保障等）内容，由评委进行评议：要点齐全无缺漏项，整体说明层次清晰，理解透彻与项目实际需求相符的得3分；要点齐全，整体说明仅有纲要内容，阐述不完善的得2.9分；理解及说明内容存在缺漏的得2.7分，未提供或内容存在错误的不得分</w:t>
            </w:r>
          </w:p>
        </w:tc>
      </w:tr>
      <w:tr>
        <w:tc>
          <w:tcPr>
            <w:tcW w:type="dxa" w:w="3322"/>
          </w:tcPr>
          <w:p>
            <w:pPr>
              <w:pStyle w:val="null3"/>
              <w:jc w:val="both"/>
            </w:pPr>
            <w:r>
              <w:rPr/>
              <w:t>5、技术能力1</w:t>
            </w:r>
          </w:p>
        </w:tc>
        <w:tc>
          <w:tcPr>
            <w:tcW w:type="dxa" w:w="831"/>
          </w:tcPr>
          <w:p>
            <w:pPr>
              <w:pStyle w:val="null3"/>
              <w:jc w:val="right"/>
            </w:pPr>
            <w:r>
              <w:rPr/>
              <w:t>3.0000</w:t>
            </w:r>
          </w:p>
        </w:tc>
        <w:tc>
          <w:tcPr>
            <w:tcW w:type="dxa" w:w="4153"/>
          </w:tcPr>
          <w:p>
            <w:pPr>
              <w:pStyle w:val="null3"/>
              <w:jc w:val="both"/>
            </w:pPr>
            <w:r>
              <w:rPr/>
              <w:t>省道路运输车辆卫星定位公共服务平台系统运维过程中需要根据变化的业务需求对现有系统功能进行升级，各项功能的升级运维方案内容进行评议：各项功能详细具体，整体说明层次清晰，措施内容与实际需求相符的得3分；运维方案一般，措施性一般的得2.9分；各项功能运维方案不完整或内容存在缺漏的得2.7分，未提供或内容存在错误的不得。</w:t>
            </w:r>
          </w:p>
        </w:tc>
      </w:tr>
      <w:tr>
        <w:tc>
          <w:tcPr>
            <w:tcW w:type="dxa" w:w="3322"/>
          </w:tcPr>
          <w:p>
            <w:pPr>
              <w:pStyle w:val="null3"/>
              <w:jc w:val="both"/>
            </w:pPr>
            <w:r>
              <w:rPr/>
              <w:t>6、技术能力2</w:t>
            </w:r>
          </w:p>
        </w:tc>
        <w:tc>
          <w:tcPr>
            <w:tcW w:type="dxa" w:w="831"/>
          </w:tcPr>
          <w:p>
            <w:pPr>
              <w:pStyle w:val="null3"/>
              <w:jc w:val="right"/>
            </w:pPr>
            <w:r>
              <w:rPr/>
              <w:t>3.0000</w:t>
            </w:r>
          </w:p>
        </w:tc>
        <w:tc>
          <w:tcPr>
            <w:tcW w:type="dxa" w:w="4153"/>
          </w:tcPr>
          <w:p>
            <w:pPr>
              <w:pStyle w:val="null3"/>
              <w:jc w:val="both"/>
            </w:pPr>
            <w:r>
              <w:rPr/>
              <w:t>福建省道路运输车辆卫星定位公共服务平台作为福建省的19万辆营运车辆的上级监管平台，为安全生产，日常监督起到关键性作用，本项目中涉及对该系统的功能升级部分能为日常工作起到促进作用，该部分功能升级工作要求在合同签订后短时间内上线运行，投标人承诺1个月内完成交付并上线试运行的3分，投标人应在投标时提供承诺函，并加盖公章，未提供得0分。</w:t>
            </w:r>
          </w:p>
        </w:tc>
      </w:tr>
      <w:tr>
        <w:tc>
          <w:tcPr>
            <w:tcW w:type="dxa" w:w="3322"/>
          </w:tcPr>
          <w:p>
            <w:pPr>
              <w:pStyle w:val="null3"/>
              <w:jc w:val="both"/>
            </w:pPr>
            <w:r>
              <w:rPr/>
              <w:t>7、技术能力3</w:t>
            </w:r>
          </w:p>
        </w:tc>
        <w:tc>
          <w:tcPr>
            <w:tcW w:type="dxa" w:w="831"/>
          </w:tcPr>
          <w:p>
            <w:pPr>
              <w:pStyle w:val="null3"/>
              <w:jc w:val="right"/>
            </w:pPr>
            <w:r>
              <w:rPr/>
              <w:t>3.0000</w:t>
            </w:r>
          </w:p>
        </w:tc>
        <w:tc>
          <w:tcPr>
            <w:tcW w:type="dxa" w:w="4153"/>
          </w:tcPr>
          <w:p>
            <w:pPr>
              <w:pStyle w:val="null3"/>
              <w:jc w:val="both"/>
            </w:pPr>
            <w:r>
              <w:rPr/>
              <w:t>投标人需要主要业务功能的业务流程图，确保运维服务工作的正常开展，提供准确得3分，描述不够完整、不够准确的得2.7分，未提供或不满足要求的不得分。</w:t>
            </w:r>
          </w:p>
        </w:tc>
      </w:tr>
      <w:tr>
        <w:tc>
          <w:tcPr>
            <w:tcW w:type="dxa" w:w="3322"/>
          </w:tcPr>
          <w:p>
            <w:pPr>
              <w:pStyle w:val="null3"/>
              <w:jc w:val="both"/>
            </w:pPr>
            <w:r>
              <w:rPr/>
              <w:t>8、数据共享交换服务方案</w:t>
            </w:r>
          </w:p>
        </w:tc>
        <w:tc>
          <w:tcPr>
            <w:tcW w:type="dxa" w:w="831"/>
          </w:tcPr>
          <w:p>
            <w:pPr>
              <w:pStyle w:val="null3"/>
              <w:jc w:val="right"/>
            </w:pPr>
            <w:r>
              <w:rPr/>
              <w:t>3.0000</w:t>
            </w:r>
          </w:p>
        </w:tc>
        <w:tc>
          <w:tcPr>
            <w:tcW w:type="dxa" w:w="4153"/>
          </w:tcPr>
          <w:p>
            <w:pPr>
              <w:pStyle w:val="null3"/>
              <w:jc w:val="both"/>
            </w:pPr>
            <w:r>
              <w:rPr/>
              <w:t>根据投标人提供的对数据共享交换服务方案由评委进行评分。数据共享交换服务方案须包含提供数据共享交换的接口方式、接口内容及接口实例材料进行评定：要点齐全无缺漏项，整体说明层次清晰，理解透彻与项目实际需求相符的得3分；要点齐全，整体说明仅有纲要内容，阐述不完善的得2.9分；理解及说明内容存在缺漏的得2.7分，未提供或内容存在错误的不得分</w:t>
            </w:r>
          </w:p>
        </w:tc>
      </w:tr>
      <w:tr>
        <w:tc>
          <w:tcPr>
            <w:tcW w:type="dxa" w:w="3322"/>
          </w:tcPr>
          <w:p>
            <w:pPr>
              <w:pStyle w:val="null3"/>
              <w:jc w:val="both"/>
            </w:pPr>
            <w:r>
              <w:rPr/>
              <w:t>9、数据库日常运维方案</w:t>
            </w:r>
          </w:p>
        </w:tc>
        <w:tc>
          <w:tcPr>
            <w:tcW w:type="dxa" w:w="831"/>
          </w:tcPr>
          <w:p>
            <w:pPr>
              <w:pStyle w:val="null3"/>
              <w:jc w:val="right"/>
            </w:pPr>
            <w:r>
              <w:rPr/>
              <w:t>3.0000</w:t>
            </w:r>
          </w:p>
        </w:tc>
        <w:tc>
          <w:tcPr>
            <w:tcW w:type="dxa" w:w="4153"/>
          </w:tcPr>
          <w:p>
            <w:pPr>
              <w:pStyle w:val="null3"/>
              <w:jc w:val="both"/>
            </w:pPr>
            <w:r>
              <w:rPr/>
              <w:t>根据投标人提供对数据库进行数据库安全、性能、备份、恢复等日常维护方案由评委进行评分。要点齐全无缺漏项，整体说明层次清晰，理解透彻与项目实际需求相符的得3分；要点齐全，整体说明仅有纲要内容，阐述不完善的得2.9分；理解及说明内容存在缺漏的得2.7分，未提供或内容存在错误的不得分</w:t>
            </w:r>
          </w:p>
        </w:tc>
      </w:tr>
      <w:tr>
        <w:tc>
          <w:tcPr>
            <w:tcW w:type="dxa" w:w="3322"/>
          </w:tcPr>
          <w:p>
            <w:pPr>
              <w:pStyle w:val="null3"/>
              <w:jc w:val="both"/>
            </w:pPr>
            <w:r>
              <w:rPr/>
              <w:t>10、日常巡检工作的管理及保障方案</w:t>
            </w:r>
          </w:p>
        </w:tc>
        <w:tc>
          <w:tcPr>
            <w:tcW w:type="dxa" w:w="831"/>
          </w:tcPr>
          <w:p>
            <w:pPr>
              <w:pStyle w:val="null3"/>
              <w:jc w:val="right"/>
            </w:pPr>
            <w:r>
              <w:rPr/>
              <w:t>3.0000</w:t>
            </w:r>
          </w:p>
        </w:tc>
        <w:tc>
          <w:tcPr>
            <w:tcW w:type="dxa" w:w="4153"/>
          </w:tcPr>
          <w:p>
            <w:pPr>
              <w:pStyle w:val="null3"/>
              <w:jc w:val="both"/>
            </w:pPr>
            <w:r>
              <w:rPr/>
              <w:t>根据投标人提供对日常巡检工作的管理及保障方案，包括日常巡检工作的管理及保障方案内容进行评定：要点齐全无缺漏项，整体说明层次清晰，理解透彻与项目实际需求相符的得3分；要点齐全，整体说明仅有纲要内容，阐述不完善的得2.9分；理解及说明内容存在缺漏的得2.7分，未提供或内容存在错误的不得分</w:t>
            </w:r>
          </w:p>
        </w:tc>
      </w:tr>
    </w:tbl>
    <w:p>
      <w:pPr>
        <w:pStyle w:val="null3"/>
        <w:jc w:val="both"/>
      </w:pPr>
      <w:r>
        <w:rPr/>
        <w:t>商务项（F3×A3）满分为15.0000分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1、投标人实力1</w:t>
            </w:r>
          </w:p>
        </w:tc>
        <w:tc>
          <w:tcPr>
            <w:tcW w:type="dxa" w:w="831"/>
          </w:tcPr>
          <w:p>
            <w:pPr>
              <w:pStyle w:val="null3"/>
              <w:jc w:val="right"/>
            </w:pPr>
            <w:r>
              <w:rPr/>
              <w:t>3.0000</w:t>
            </w:r>
          </w:p>
        </w:tc>
        <w:tc>
          <w:tcPr>
            <w:tcW w:type="dxa" w:w="4153"/>
          </w:tcPr>
          <w:p>
            <w:pPr>
              <w:pStyle w:val="null3"/>
              <w:jc w:val="both"/>
            </w:pPr>
            <w:r>
              <w:rPr/>
              <w:t>投标人拥有相关车辆卫星定位数据的大数据分析处理类的软件著作权，著作权名称中需包含“交通”或“路况”或“驾驶行为分析”关键字，每提供一个著作权得1分，满分3分，需提供相关证书复印件，未提供的不得分。</w:t>
            </w:r>
          </w:p>
        </w:tc>
      </w:tr>
      <w:tr>
        <w:tc>
          <w:tcPr>
            <w:tcW w:type="dxa" w:w="3322"/>
          </w:tcPr>
          <w:p>
            <w:pPr>
              <w:pStyle w:val="null3"/>
              <w:jc w:val="both"/>
            </w:pPr>
            <w:r>
              <w:rPr/>
              <w:t>2、投标人实力2</w:t>
            </w:r>
          </w:p>
        </w:tc>
        <w:tc>
          <w:tcPr>
            <w:tcW w:type="dxa" w:w="831"/>
          </w:tcPr>
          <w:p>
            <w:pPr>
              <w:pStyle w:val="null3"/>
              <w:jc w:val="right"/>
            </w:pPr>
            <w:r>
              <w:rPr/>
              <w:t>1.0000</w:t>
            </w:r>
          </w:p>
        </w:tc>
        <w:tc>
          <w:tcPr>
            <w:tcW w:type="dxa" w:w="4153"/>
          </w:tcPr>
          <w:p>
            <w:pPr>
              <w:pStyle w:val="null3"/>
              <w:jc w:val="both"/>
            </w:pPr>
            <w:r>
              <w:rPr/>
              <w:t>投标人具有有效的质量管理体系认证证书的得1分，投标人应在投标文件中提供证书复印件或附上在全国认证认可信息公共服务平台（http://cx.cnca.cn/CertECloud/index/index/page）的查询记录，查询结果应为其通过上述网站获取的查询结果原始页面的打印件（或截图），未提供或提供不齐全的或证书不在有效期内的不得分。</w:t>
            </w:r>
          </w:p>
        </w:tc>
      </w:tr>
      <w:tr>
        <w:tc>
          <w:tcPr>
            <w:tcW w:type="dxa" w:w="3322"/>
          </w:tcPr>
          <w:p>
            <w:pPr>
              <w:pStyle w:val="null3"/>
              <w:jc w:val="both"/>
            </w:pPr>
            <w:r>
              <w:rPr/>
              <w:t>3、投标人实力3</w:t>
            </w:r>
          </w:p>
        </w:tc>
        <w:tc>
          <w:tcPr>
            <w:tcW w:type="dxa" w:w="831"/>
          </w:tcPr>
          <w:p>
            <w:pPr>
              <w:pStyle w:val="null3"/>
              <w:jc w:val="right"/>
            </w:pPr>
            <w:r>
              <w:rPr/>
              <w:t>1.0000</w:t>
            </w:r>
          </w:p>
        </w:tc>
        <w:tc>
          <w:tcPr>
            <w:tcW w:type="dxa" w:w="4153"/>
          </w:tcPr>
          <w:p>
            <w:pPr>
              <w:pStyle w:val="null3"/>
              <w:jc w:val="both"/>
            </w:pPr>
            <w:r>
              <w:rPr/>
              <w:t>投标人具有有效的职业健康安全管理体系认证证书的得1分，否则不得分。投标人应在投标文件中提供证书复印件或附上在全国认证认可信息公共服务平台（http://cx.cnca.cn/CertECloud/index/index/page）的查询记录，查询结果应为其通过上述网站获取的查询结果原始页面的打印件（或截图），未提供或提供不齐全的或证书不在有效期内的不得分。</w:t>
            </w:r>
          </w:p>
        </w:tc>
      </w:tr>
      <w:tr>
        <w:tc>
          <w:tcPr>
            <w:tcW w:type="dxa" w:w="3322"/>
          </w:tcPr>
          <w:p>
            <w:pPr>
              <w:pStyle w:val="null3"/>
              <w:jc w:val="both"/>
            </w:pPr>
            <w:r>
              <w:rPr/>
              <w:t>4、投标人实力4</w:t>
            </w:r>
          </w:p>
        </w:tc>
        <w:tc>
          <w:tcPr>
            <w:tcW w:type="dxa" w:w="831"/>
          </w:tcPr>
          <w:p>
            <w:pPr>
              <w:pStyle w:val="null3"/>
              <w:jc w:val="right"/>
            </w:pPr>
            <w:r>
              <w:rPr/>
              <w:t>3.0000</w:t>
            </w:r>
          </w:p>
        </w:tc>
        <w:tc>
          <w:tcPr>
            <w:tcW w:type="dxa" w:w="4153"/>
          </w:tcPr>
          <w:p>
            <w:pPr>
              <w:pStyle w:val="null3"/>
              <w:jc w:val="both"/>
            </w:pPr>
            <w:r>
              <w:rPr/>
              <w:t>拟投入本项目的组成人员中，每提供一份相关部门颁发的计算机或电子工程相关专业的高级工程师证书的得1分、每提供一份相关部门颁发的计算机或电子工程相关专业中级工程师证书的得0.5分，满分3分。（投标人应在投标文件中提供相关人员证书复印件，投标截止时间前六个月（不含投标截止时间当月）任意一个月社保证明材料以及劳动合同复印件，以上材料提供不齐全的或未提供的不得分）</w:t>
            </w:r>
          </w:p>
        </w:tc>
      </w:tr>
      <w:tr>
        <w:tc>
          <w:tcPr>
            <w:tcW w:type="dxa" w:w="3322"/>
          </w:tcPr>
          <w:p>
            <w:pPr>
              <w:pStyle w:val="null3"/>
              <w:jc w:val="both"/>
            </w:pPr>
            <w:r>
              <w:rPr/>
              <w:t>5、投标人承诺</w:t>
            </w:r>
          </w:p>
        </w:tc>
        <w:tc>
          <w:tcPr>
            <w:tcW w:type="dxa" w:w="831"/>
          </w:tcPr>
          <w:p>
            <w:pPr>
              <w:pStyle w:val="null3"/>
              <w:jc w:val="right"/>
            </w:pPr>
            <w:r>
              <w:rPr/>
              <w:t>1.0000</w:t>
            </w:r>
          </w:p>
        </w:tc>
        <w:tc>
          <w:tcPr>
            <w:tcW w:type="dxa" w:w="4153"/>
          </w:tcPr>
          <w:p>
            <w:pPr>
              <w:pStyle w:val="null3"/>
              <w:jc w:val="both"/>
            </w:pPr>
            <w:r>
              <w:rPr/>
              <w:t>投标人承诺对目前该系统已使用的硬件设备进行运维保障，并提供对损坏的硬件设备及其配件进行修复、购置、更换等服务（设备包括2台Lnspur-NF5280M4 服务器，1台Lnspur-AS520n NAS存储服务器），以上费用由中标供应商承担。提供承诺函的得1分，未提供不得分。</w:t>
            </w:r>
          </w:p>
        </w:tc>
      </w:tr>
      <w:tr>
        <w:tc>
          <w:tcPr>
            <w:tcW w:type="dxa" w:w="3322"/>
          </w:tcPr>
          <w:p>
            <w:pPr>
              <w:pStyle w:val="null3"/>
              <w:jc w:val="both"/>
            </w:pPr>
            <w:r>
              <w:rPr/>
              <w:t>6、业绩</w:t>
            </w:r>
          </w:p>
        </w:tc>
        <w:tc>
          <w:tcPr>
            <w:tcW w:type="dxa" w:w="831"/>
          </w:tcPr>
          <w:p>
            <w:pPr>
              <w:pStyle w:val="null3"/>
              <w:jc w:val="right"/>
            </w:pPr>
            <w:r>
              <w:rPr/>
              <w:t>3.0000</w:t>
            </w:r>
          </w:p>
        </w:tc>
        <w:tc>
          <w:tcPr>
            <w:tcW w:type="dxa" w:w="4153"/>
          </w:tcPr>
          <w:p>
            <w:pPr>
              <w:pStyle w:val="null3"/>
              <w:jc w:val="both"/>
            </w:pPr>
            <w:r>
              <w:rPr/>
              <w:t>根据各投标人近五年所提供的由投标人在国内独立完成的同类项目的有效业绩情况进行打分，每提供1份得1分，满分3分。注：有效业绩是指：投标人须提供该业绩项目的中标公告（提供相关网站中标公告的下载网页并注明网址）、中标通知书复印件、采购合同文本复印件，以及能够证明该业绩项目已经采购人验收合格的相关证明文件复印件，未同时提供以上各项证明材料的，该项业绩不给予计分。</w:t>
            </w:r>
          </w:p>
        </w:tc>
      </w:tr>
      <w:tr>
        <w:tc>
          <w:tcPr>
            <w:tcW w:type="dxa" w:w="3322"/>
          </w:tcPr>
          <w:p>
            <w:pPr>
              <w:pStyle w:val="null3"/>
              <w:jc w:val="both"/>
            </w:pPr>
            <w:r>
              <w:rPr/>
              <w:t>7、满意度评价</w:t>
            </w:r>
          </w:p>
        </w:tc>
        <w:tc>
          <w:tcPr>
            <w:tcW w:type="dxa" w:w="831"/>
          </w:tcPr>
          <w:p>
            <w:pPr>
              <w:pStyle w:val="null3"/>
              <w:jc w:val="right"/>
            </w:pPr>
            <w:r>
              <w:rPr/>
              <w:t>3.0000</w:t>
            </w:r>
          </w:p>
        </w:tc>
        <w:tc>
          <w:tcPr>
            <w:tcW w:type="dxa" w:w="4153"/>
          </w:tcPr>
          <w:p>
            <w:pPr>
              <w:pStyle w:val="null3"/>
              <w:jc w:val="both"/>
            </w:pPr>
            <w:r>
              <w:rPr/>
              <w:t>根据投标人所提供的自2019年01月01日至投标截止日期止（日期以合同签订日期为准），由投标人承接并履行完毕、服务良好的类似项目的采购人满意证明材料进行评分：每提供一份满意证明材料的得1分,满分3分。需同时采购人盖章的满意度证明材料复印件及双方签订的合同复印件，提供不齐全不得分。【满意度指：评价在90分以上，或者好评、优、满意等表述为满意的评价】（注：提供证明材料与“业绩”重复的本项不得分）</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第五章 招标内容及要求</w:t>
      </w:r>
    </w:p>
    <w:p>
      <w:pPr>
        <w:pStyle w:val="null3"/>
        <w:jc w:val="both"/>
        <w:outlineLvl w:val="2"/>
      </w:pPr>
      <w:r>
        <w:rPr>
          <w:sz w:val="28"/>
          <w:b/>
        </w:rPr>
        <w:t>一、项目概况（采购标的）</w:t>
      </w:r>
    </w:p>
    <w:p>
      <w:pPr>
        <w:pStyle w:val="null3"/>
        <w:ind w:firstLine="480"/>
        <w:jc w:val="both"/>
      </w:pPr>
      <w:r>
        <w:rPr>
          <w:rFonts w:ascii="宋体" w:hAnsi="宋体" w:cs="宋体" w:eastAsia="宋体"/>
          <w:sz w:val="24"/>
          <w:b/>
          <w:shd w:fill="FFFFFF" w:val="clear"/>
        </w:rPr>
        <w:t>1</w:t>
      </w:r>
      <w:r>
        <w:rPr>
          <w:rFonts w:ascii="宋体" w:hAnsi="宋体" w:cs="宋体" w:eastAsia="宋体"/>
          <w:sz w:val="24"/>
          <w:b/>
          <w:shd w:fill="FFFFFF" w:val="clear"/>
        </w:rPr>
        <w:t>、</w:t>
      </w:r>
      <w:r>
        <w:rPr>
          <w:rFonts w:ascii="宋体" w:hAnsi="宋体" w:cs="宋体" w:eastAsia="宋体"/>
          <w:sz w:val="24"/>
          <w:b/>
          <w:shd w:fill="FFFFFF" w:val="clear"/>
        </w:rPr>
        <w:t>服务目标</w:t>
      </w:r>
    </w:p>
    <w:p>
      <w:pPr>
        <w:pStyle w:val="null3"/>
        <w:ind w:firstLine="480"/>
        <w:jc w:val="left"/>
      </w:pPr>
      <w:r>
        <w:rPr>
          <w:rFonts w:ascii="宋体" w:hAnsi="宋体" w:cs="宋体" w:eastAsia="宋体"/>
          <w:sz w:val="24"/>
          <w:color w:val="000000"/>
        </w:rPr>
        <w:t>本次项目主要围绕营运车辆卫星定位服务平台进行日常性运维服务，主要服务目标</w:t>
      </w:r>
      <w:r>
        <w:rPr>
          <w:rFonts w:ascii="宋体" w:hAnsi="宋体" w:cs="宋体" w:eastAsia="宋体"/>
          <w:sz w:val="24"/>
          <w:color w:val="000000"/>
        </w:rPr>
        <w:t>是为系统提供日常性巡检及硬件设备维护等服务，确保信息化系统的稳定运行，减少系统故障和中断，保障业务连续性，以保障平台的正常、稳定、高效的运行。有效监控系统性能，及时优化，以提高系统响应速度和处理能力，满足用户需求。</w:t>
      </w:r>
    </w:p>
    <w:p>
      <w:pPr>
        <w:pStyle w:val="null3"/>
        <w:ind w:firstLine="480"/>
        <w:jc w:val="left"/>
      </w:pPr>
      <w:r>
        <w:rPr>
          <w:rFonts w:ascii="宋体" w:hAnsi="宋体" w:cs="宋体" w:eastAsia="宋体"/>
          <w:sz w:val="24"/>
          <w:color w:val="000000"/>
        </w:rPr>
        <w:t>在业务系统稳定运行和日常业务开展方面，通过运维服务对平台的应用软件进行改正性、适应性、维护性、预防性维护，满足日常业务工作的需要，同时做到平台故障早发现、早解决，确保计算机系统、网络和应用的连续、可靠、安全运行，降低发生故障的可能性。对系统进行日常巡检、软件优化、安全风险修复、数据库进行维护，有效提高平台的安全性、稳定性、可用性。</w:t>
      </w:r>
    </w:p>
    <w:p>
      <w:pPr>
        <w:pStyle w:val="null3"/>
        <w:ind w:firstLine="480"/>
        <w:jc w:val="left"/>
      </w:pPr>
      <w:r>
        <w:rPr>
          <w:rFonts w:ascii="宋体" w:hAnsi="宋体" w:cs="宋体" w:eastAsia="宋体"/>
          <w:sz w:val="24"/>
          <w:color w:val="000000"/>
        </w:rPr>
        <w:t>在业务系统数据安全和应急管理方面，实施严格的安全控制措施，保护数据免受未授权访问、泄露、篡改或破坏，保障系统数据安全不受未授权访问的风险影响，确保数据的准确性和一致性，防止数据丢失或损坏，定期进行系统安全漏洞检查和修复，进行数据备份和恢复策略，建立快速响应机制，确保在系统出现问题时能够迅速响应并恢复服务。在此基础上，实施有效的数据治理策略，提升数据质量，包括数据清洗、验证和标准化，确保数据的合规性和符合组织的政策。</w:t>
      </w:r>
    </w:p>
    <w:p>
      <w:pPr>
        <w:pStyle w:val="null3"/>
        <w:ind w:firstLine="241"/>
        <w:jc w:val="left"/>
      </w:pPr>
      <w:r>
        <w:rPr>
          <w:rFonts w:ascii="宋体" w:hAnsi="宋体" w:cs="宋体" w:eastAsia="宋体"/>
          <w:sz w:val="24"/>
          <w:b/>
          <w:shd w:fill="FFFFFF" w:val="clear"/>
        </w:rPr>
        <w:t>2</w:t>
      </w:r>
      <w:r>
        <w:rPr>
          <w:rFonts w:ascii="宋体" w:hAnsi="宋体" w:cs="宋体" w:eastAsia="宋体"/>
          <w:sz w:val="24"/>
          <w:b/>
          <w:shd w:fill="FFFFFF" w:val="clear"/>
        </w:rPr>
        <w:t>、项目现状</w:t>
      </w:r>
    </w:p>
    <w:p>
      <w:pPr>
        <w:pStyle w:val="null3"/>
        <w:ind w:firstLine="480"/>
        <w:jc w:val="left"/>
      </w:pPr>
      <w:r>
        <w:rPr>
          <w:rFonts w:ascii="宋体" w:hAnsi="宋体" w:cs="宋体" w:eastAsia="宋体"/>
          <w:sz w:val="24"/>
          <w:color w:val="000000"/>
        </w:rPr>
        <w:t>平台目前部署至数字福建长乐政务云计算平台，通过对接全省道路运输车辆卫星定位运营服务商数据，进行数据分析汇总，纵向实现部、省、市、县</w:t>
      </w:r>
      <w:r>
        <w:rPr>
          <w:rFonts w:ascii="宋体" w:hAnsi="宋体" w:cs="宋体" w:eastAsia="宋体"/>
          <w:sz w:val="24"/>
          <w:color w:val="000000"/>
        </w:rPr>
        <w:t>4 级联网联控，横向对接公安、安监、环保等政府部门，同时对接全国道路运输车辆联网联控平台，实现资源共享管理联动。系统现接入各类车辆约 20 万辆，系统功能包括终端接入、其它车辆卫星定位系统接入、监控功能、报表统计功能、车辆管理、用户及权限管理、GIS 功能、数据存储功能、决策支持功能、语音功能和其他相关部门和服务商接口等功能。</w:t>
      </w:r>
    </w:p>
    <w:p>
      <w:pPr>
        <w:pStyle w:val="null3"/>
        <w:jc w:val="both"/>
        <w:outlineLvl w:val="2"/>
      </w:pPr>
      <w:r>
        <w:rPr>
          <w:sz w:val="28"/>
          <w:b/>
        </w:rPr>
        <w:t>二、技术和服务要求（以“★”标示的内容为不允许负偏离的实质性要求）</w:t>
      </w:r>
    </w:p>
    <w:p>
      <w:pPr>
        <w:pStyle w:val="null3"/>
        <w:jc w:val="left"/>
      </w:pPr>
      <w:r>
        <w:rPr>
          <w:rFonts w:ascii="宋体" w:hAnsi="宋体" w:cs="宋体" w:eastAsia="宋体"/>
          <w:sz w:val="24"/>
          <w:b/>
        </w:rPr>
        <w:t>1、</w:t>
      </w:r>
      <w:r>
        <w:rPr>
          <w:rFonts w:ascii="宋体" w:hAnsi="宋体" w:cs="宋体" w:eastAsia="宋体"/>
          <w:sz w:val="24"/>
          <w:b/>
        </w:rPr>
        <w:t>日常运维服务方案</w:t>
      </w:r>
    </w:p>
    <w:p>
      <w:pPr>
        <w:pStyle w:val="null3"/>
        <w:ind w:firstLine="482"/>
        <w:jc w:val="left"/>
      </w:pPr>
      <w:r>
        <w:rPr>
          <w:rFonts w:ascii="宋体" w:hAnsi="宋体" w:cs="宋体" w:eastAsia="宋体"/>
          <w:sz w:val="24"/>
          <w:b/>
          <w:color w:val="000000"/>
        </w:rPr>
        <w:t>（项号</w:t>
      </w:r>
      <w:r>
        <w:rPr>
          <w:rFonts w:ascii="宋体" w:hAnsi="宋体" w:cs="宋体" w:eastAsia="宋体"/>
          <w:sz w:val="24"/>
          <w:b/>
          <w:color w:val="000000"/>
        </w:rPr>
        <w:t>1）1.1服务原则</w:t>
      </w:r>
    </w:p>
    <w:p>
      <w:pPr>
        <w:pStyle w:val="null3"/>
        <w:ind w:firstLine="480"/>
        <w:jc w:val="left"/>
      </w:pPr>
      <w:r>
        <w:rPr>
          <w:rFonts w:ascii="宋体" w:hAnsi="宋体" w:cs="宋体" w:eastAsia="宋体"/>
          <w:sz w:val="24"/>
          <w:color w:val="000000"/>
        </w:rPr>
        <w:t>为了切实做好系统的运行维护工作，运维服务遵循以下总体工作原则：</w:t>
      </w:r>
    </w:p>
    <w:p>
      <w:pPr>
        <w:pStyle w:val="null3"/>
        <w:ind w:firstLine="480"/>
        <w:jc w:val="left"/>
      </w:pPr>
      <w:r>
        <w:rPr>
          <w:rFonts w:ascii="宋体" w:hAnsi="宋体" w:cs="宋体" w:eastAsia="宋体"/>
          <w:sz w:val="24"/>
          <w:color w:val="000000"/>
        </w:rPr>
        <w:t>1、响应及时性原则</w:t>
      </w:r>
    </w:p>
    <w:p>
      <w:pPr>
        <w:pStyle w:val="null3"/>
        <w:ind w:firstLine="480"/>
        <w:jc w:val="left"/>
      </w:pPr>
      <w:r>
        <w:rPr>
          <w:rFonts w:ascii="宋体" w:hAnsi="宋体" w:cs="宋体" w:eastAsia="宋体"/>
          <w:sz w:val="24"/>
          <w:color w:val="000000"/>
        </w:rPr>
        <w:t>设立本项目运维服务团队为用户提供</w:t>
      </w:r>
      <w:r>
        <w:rPr>
          <w:rFonts w:ascii="宋体" w:hAnsi="宋体" w:cs="宋体" w:eastAsia="宋体"/>
          <w:sz w:val="24"/>
          <w:color w:val="000000"/>
        </w:rPr>
        <w:t>7×24 小时全时响应服务。</w:t>
      </w:r>
    </w:p>
    <w:p>
      <w:pPr>
        <w:pStyle w:val="null3"/>
        <w:ind w:firstLine="480"/>
        <w:jc w:val="left"/>
      </w:pPr>
      <w:r>
        <w:rPr>
          <w:rFonts w:ascii="宋体" w:hAnsi="宋体" w:cs="宋体" w:eastAsia="宋体"/>
          <w:sz w:val="24"/>
          <w:color w:val="000000"/>
        </w:rPr>
        <w:t>2、服务规范性原则</w:t>
      </w:r>
    </w:p>
    <w:p>
      <w:pPr>
        <w:pStyle w:val="null3"/>
        <w:ind w:firstLine="480"/>
        <w:jc w:val="left"/>
      </w:pPr>
      <w:r>
        <w:rPr>
          <w:rFonts w:ascii="宋体" w:hAnsi="宋体" w:cs="宋体" w:eastAsia="宋体"/>
          <w:sz w:val="24"/>
          <w:color w:val="000000"/>
        </w:rPr>
        <w:t>运维服务团队成员具有专业技术技能，严格按照运维服务流程提供服务。</w:t>
      </w:r>
    </w:p>
    <w:p>
      <w:pPr>
        <w:pStyle w:val="null3"/>
        <w:ind w:firstLine="480"/>
        <w:jc w:val="left"/>
      </w:pPr>
      <w:r>
        <w:rPr>
          <w:rFonts w:ascii="宋体" w:hAnsi="宋体" w:cs="宋体" w:eastAsia="宋体"/>
          <w:sz w:val="24"/>
          <w:color w:val="000000"/>
        </w:rPr>
        <w:t>3、解决问题高效性原则</w:t>
      </w:r>
    </w:p>
    <w:p>
      <w:pPr>
        <w:pStyle w:val="null3"/>
        <w:ind w:firstLine="480"/>
        <w:jc w:val="left"/>
      </w:pPr>
      <w:r>
        <w:rPr>
          <w:rFonts w:ascii="宋体" w:hAnsi="宋体" w:cs="宋体" w:eastAsia="宋体"/>
          <w:sz w:val="24"/>
          <w:color w:val="000000"/>
        </w:rPr>
        <w:t>遵循解决问题高效性原则，通过现场支持工程师的专业技能</w:t>
      </w:r>
      <w:r>
        <w:rPr>
          <w:rFonts w:ascii="宋体" w:hAnsi="宋体" w:cs="宋体" w:eastAsia="宋体"/>
          <w:sz w:val="24"/>
          <w:color w:val="000000"/>
        </w:rPr>
        <w:t>2小时内排除一般故障， 24 小时内解决较大故障。</w:t>
      </w:r>
    </w:p>
    <w:p>
      <w:pPr>
        <w:pStyle w:val="null3"/>
        <w:ind w:firstLine="482"/>
        <w:jc w:val="left"/>
      </w:pPr>
      <w:r>
        <w:rPr>
          <w:rFonts w:ascii="宋体" w:hAnsi="宋体" w:cs="宋体" w:eastAsia="宋体"/>
          <w:sz w:val="24"/>
          <w:b/>
          <w:color w:val="000000"/>
        </w:rPr>
        <w:t>（项号</w:t>
      </w:r>
      <w:r>
        <w:rPr>
          <w:rFonts w:ascii="宋体" w:hAnsi="宋体" w:cs="宋体" w:eastAsia="宋体"/>
          <w:sz w:val="24"/>
          <w:b/>
          <w:color w:val="000000"/>
        </w:rPr>
        <w:t>2）1.2服务目标</w:t>
      </w:r>
    </w:p>
    <w:p>
      <w:pPr>
        <w:pStyle w:val="null3"/>
        <w:ind w:firstLine="480"/>
        <w:jc w:val="left"/>
      </w:pPr>
      <w:r>
        <w:rPr>
          <w:rFonts w:ascii="宋体" w:hAnsi="宋体" w:cs="宋体" w:eastAsia="宋体"/>
          <w:sz w:val="24"/>
          <w:color w:val="000000"/>
        </w:rPr>
        <w:t>通过本项目运行维护，将实现以下几个目标：</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1）保证系统正常运行，满足交通日常业务、管理工作需要，为政府职能提供支撑服务，满足政府对交通运输行业数据统计分析的需求；</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2）快速响应政策法规变化及时满足业务规范化需求；</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3）实现数据交互共享，为业务系统提供及时有效的数据基础，为进一步提升信息系统的智能化水平，奠定坚实基础，为社会管理提供基础数据；</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4）通过对数据库定期维护，及时分析应用服务器、数据库服务器运行过程中可能存在的风险，及时做好应急预案、容灾备份等工作，保障系统长期有效运行；</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5）通过现场服务，主动发现设备安全、系统调试、使用、现场监控等方面存在的问题进行现场甄别及时解决。</w:t>
      </w:r>
    </w:p>
    <w:p>
      <w:pPr>
        <w:pStyle w:val="null3"/>
        <w:ind w:firstLine="482"/>
        <w:jc w:val="left"/>
      </w:pPr>
      <w:r>
        <w:rPr>
          <w:rFonts w:ascii="宋体" w:hAnsi="宋体" w:cs="宋体" w:eastAsia="宋体"/>
          <w:sz w:val="24"/>
          <w:b/>
          <w:color w:val="000000"/>
        </w:rPr>
        <w:t>1.3服务内容</w:t>
      </w:r>
    </w:p>
    <w:p>
      <w:pPr>
        <w:pStyle w:val="null3"/>
        <w:ind w:firstLine="482"/>
        <w:jc w:val="left"/>
      </w:pPr>
      <w:r>
        <w:rPr>
          <w:rFonts w:ascii="宋体" w:hAnsi="宋体" w:cs="宋体" w:eastAsia="宋体"/>
          <w:sz w:val="24"/>
          <w:b/>
          <w:color w:val="000000"/>
        </w:rPr>
        <w:t>（项号</w:t>
      </w:r>
      <w:r>
        <w:rPr>
          <w:rFonts w:ascii="宋体" w:hAnsi="宋体" w:cs="宋体" w:eastAsia="宋体"/>
          <w:sz w:val="24"/>
          <w:b/>
          <w:color w:val="000000"/>
        </w:rPr>
        <w:t>3）</w:t>
      </w:r>
      <w:r>
        <w:rPr>
          <w:rFonts w:ascii="宋体" w:hAnsi="宋体" w:cs="宋体" w:eastAsia="宋体"/>
          <w:sz w:val="24"/>
          <w:color w:val="000000"/>
        </w:rPr>
        <w:t>1.日常巡检维护，保障各系统及数据接口的稳定性和可靠性；</w:t>
      </w:r>
    </w:p>
    <w:p>
      <w:pPr>
        <w:pStyle w:val="null3"/>
        <w:ind w:firstLine="482"/>
        <w:jc w:val="left"/>
      </w:pPr>
      <w:r>
        <w:rPr>
          <w:rFonts w:ascii="宋体" w:hAnsi="宋体" w:cs="宋体" w:eastAsia="宋体"/>
          <w:sz w:val="24"/>
          <w:b/>
          <w:color w:val="000000"/>
        </w:rPr>
        <w:t>（项号</w:t>
      </w:r>
      <w:r>
        <w:rPr>
          <w:rFonts w:ascii="宋体" w:hAnsi="宋体" w:cs="宋体" w:eastAsia="宋体"/>
          <w:sz w:val="24"/>
          <w:b/>
          <w:color w:val="000000"/>
        </w:rPr>
        <w:t>4）</w:t>
      </w:r>
      <w:r>
        <w:rPr>
          <w:rFonts w:ascii="宋体" w:hAnsi="宋体" w:cs="宋体" w:eastAsia="宋体"/>
          <w:sz w:val="24"/>
          <w:color w:val="000000"/>
        </w:rPr>
        <w:t>2.安全加固和漏洞修复，保障系统的安全性和可恢复性；</w:t>
      </w:r>
    </w:p>
    <w:p>
      <w:pPr>
        <w:pStyle w:val="null3"/>
        <w:ind w:firstLine="482"/>
        <w:jc w:val="left"/>
      </w:pPr>
      <w:r>
        <w:rPr>
          <w:rFonts w:ascii="宋体" w:hAnsi="宋体" w:cs="宋体" w:eastAsia="宋体"/>
          <w:sz w:val="24"/>
          <w:b/>
          <w:color w:val="000000"/>
        </w:rPr>
        <w:t>（项号</w:t>
      </w:r>
      <w:r>
        <w:rPr>
          <w:rFonts w:ascii="宋体" w:hAnsi="宋体" w:cs="宋体" w:eastAsia="宋体"/>
          <w:sz w:val="24"/>
          <w:b/>
          <w:color w:val="000000"/>
        </w:rPr>
        <w:t>5）</w:t>
      </w:r>
      <w:r>
        <w:rPr>
          <w:rFonts w:ascii="宋体" w:hAnsi="宋体" w:cs="宋体" w:eastAsia="宋体"/>
          <w:sz w:val="24"/>
          <w:color w:val="000000"/>
        </w:rPr>
        <w:t>3.硬件备品配件充足，软、硬件故障及时响应与修复（包括对损坏的硬件设备及其配件进行修复、购置、更换等）；</w:t>
      </w:r>
    </w:p>
    <w:p>
      <w:pPr>
        <w:pStyle w:val="null3"/>
        <w:ind w:firstLine="482"/>
        <w:jc w:val="left"/>
      </w:pPr>
      <w:r>
        <w:rPr>
          <w:rFonts w:ascii="宋体" w:hAnsi="宋体" w:cs="宋体" w:eastAsia="宋体"/>
          <w:sz w:val="24"/>
          <w:b/>
          <w:color w:val="000000"/>
        </w:rPr>
        <w:t>（项号</w:t>
      </w:r>
      <w:r>
        <w:rPr>
          <w:rFonts w:ascii="宋体" w:hAnsi="宋体" w:cs="宋体" w:eastAsia="宋体"/>
          <w:sz w:val="24"/>
          <w:b/>
          <w:color w:val="000000"/>
        </w:rPr>
        <w:t>6）</w:t>
      </w:r>
      <w:r>
        <w:rPr>
          <w:rFonts w:ascii="宋体" w:hAnsi="宋体" w:cs="宋体" w:eastAsia="宋体"/>
          <w:sz w:val="24"/>
          <w:color w:val="000000"/>
        </w:rPr>
        <w:t>4.技术支持服务，为道路运输企业或卫星定位运营服务商提供业务咨询、技术对接和数据联调等技术支持服务，同时配合管理部门对车辆动态监管工作进行督导、检查和考核；</w:t>
      </w:r>
    </w:p>
    <w:p>
      <w:pPr>
        <w:pStyle w:val="null3"/>
        <w:ind w:firstLine="482"/>
        <w:jc w:val="left"/>
      </w:pPr>
      <w:r>
        <w:rPr>
          <w:rFonts w:ascii="宋体" w:hAnsi="宋体" w:cs="宋体" w:eastAsia="宋体"/>
          <w:sz w:val="24"/>
          <w:b/>
          <w:color w:val="000000"/>
        </w:rPr>
        <w:t>（项号</w:t>
      </w:r>
      <w:r>
        <w:rPr>
          <w:rFonts w:ascii="宋体" w:hAnsi="宋体" w:cs="宋体" w:eastAsia="宋体"/>
          <w:sz w:val="24"/>
          <w:b/>
          <w:color w:val="000000"/>
        </w:rPr>
        <w:t>7）</w:t>
      </w:r>
      <w:r>
        <w:rPr>
          <w:rFonts w:ascii="宋体" w:hAnsi="宋体" w:cs="宋体" w:eastAsia="宋体"/>
          <w:sz w:val="24"/>
          <w:color w:val="000000"/>
        </w:rPr>
        <w:t>5.完善提升系统功能模块，满足日常业务工作的需要，提高业务系统运行管理水平和服务保障能力；</w:t>
      </w:r>
    </w:p>
    <w:p>
      <w:pPr>
        <w:pStyle w:val="null3"/>
        <w:ind w:firstLine="480"/>
        <w:jc w:val="left"/>
      </w:pPr>
      <w:r>
        <w:rPr>
          <w:rFonts w:ascii="宋体" w:hAnsi="宋体" w:cs="宋体" w:eastAsia="宋体"/>
          <w:sz w:val="24"/>
          <w:color w:val="000000"/>
        </w:rPr>
        <w:t>6.具体服务内容详见表1-1 和表 1-2：</w:t>
      </w:r>
    </w:p>
    <w:p>
      <w:pPr>
        <w:pStyle w:val="null3"/>
        <w:ind w:firstLine="500"/>
        <w:jc w:val="left"/>
      </w:pPr>
      <w:r>
        <w:rPr>
          <w:rFonts w:ascii="宋体" w:hAnsi="宋体" w:cs="宋体" w:eastAsia="宋体"/>
          <w:sz w:val="24"/>
        </w:rPr>
        <w:t>★</w:t>
      </w:r>
      <w:r>
        <w:rPr>
          <w:rFonts w:ascii="宋体" w:hAnsi="宋体" w:cs="宋体" w:eastAsia="宋体"/>
          <w:sz w:val="24"/>
        </w:rPr>
        <w:t>表</w:t>
      </w:r>
      <w:r>
        <w:rPr>
          <w:rFonts w:ascii="calibri" w:hAnsi="calibri" w:cs="calibri" w:eastAsia="calibri"/>
          <w:sz w:val="21"/>
        </w:rPr>
        <w:t xml:space="preserve"> </w:t>
      </w:r>
      <w:r>
        <w:rPr>
          <w:rFonts w:ascii="宋体" w:hAnsi="宋体" w:cs="宋体" w:eastAsia="宋体"/>
          <w:sz w:val="24"/>
        </w:rPr>
        <w:t>1</w:t>
      </w:r>
      <w:r>
        <w:rPr>
          <w:rFonts w:ascii="宋体" w:hAnsi="宋体" w:cs="宋体" w:eastAsia="宋体"/>
          <w:sz w:val="24"/>
        </w:rPr>
        <w:t>-1  全省营运车辆卫星定位服务平台运维内容表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741"/>
        <w:gridCol w:w="1046"/>
        <w:gridCol w:w="1232"/>
        <w:gridCol w:w="1991"/>
        <w:gridCol w:w="1036"/>
        <w:gridCol w:w="1027"/>
        <w:gridCol w:w="1233"/>
      </w:tblGrid>
      <w:tr>
        <w:tc>
          <w:tcPr>
            <w:tcW w:type="dxa" w:w="7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225"/>
              <w:jc w:val="both"/>
            </w:pPr>
            <w:r>
              <w:rPr>
                <w:rFonts w:ascii="宋体" w:hAnsi="宋体" w:cs="宋体" w:eastAsia="宋体"/>
                <w:sz w:val="24"/>
                <w:b/>
              </w:rPr>
              <w:t>序号</w:t>
            </w:r>
          </w:p>
        </w:tc>
        <w:tc>
          <w:tcPr>
            <w:tcW w:type="dxa" w:w="10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80"/>
              <w:jc w:val="both"/>
            </w:pPr>
            <w:r>
              <w:rPr>
                <w:rFonts w:ascii="宋体" w:hAnsi="宋体" w:cs="宋体" w:eastAsia="宋体"/>
                <w:sz w:val="24"/>
                <w:b/>
              </w:rPr>
              <w:t>项目名称</w:t>
            </w:r>
          </w:p>
        </w:tc>
        <w:tc>
          <w:tcPr>
            <w:tcW w:type="dxa" w:w="12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75" w:right="375"/>
              <w:jc w:val="both"/>
            </w:pPr>
            <w:r>
              <w:rPr>
                <w:rFonts w:ascii="宋体" w:hAnsi="宋体" w:cs="宋体" w:eastAsia="宋体"/>
                <w:sz w:val="24"/>
              </w:rPr>
              <w:t>服务项目</w:t>
            </w:r>
          </w:p>
        </w:tc>
        <w:tc>
          <w:tcPr>
            <w:tcW w:type="dxa" w:w="19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宋体" w:hAnsi="宋体" w:cs="宋体" w:eastAsia="宋体"/>
                <w:sz w:val="24"/>
                <w:b/>
              </w:rPr>
              <w:t>维护内容说明</w:t>
            </w:r>
          </w:p>
        </w:tc>
        <w:tc>
          <w:tcPr>
            <w:tcW w:type="dxa" w:w="10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80"/>
              <w:jc w:val="both"/>
            </w:pPr>
            <w:r>
              <w:rPr>
                <w:rFonts w:ascii="宋体" w:hAnsi="宋体" w:cs="宋体" w:eastAsia="宋体"/>
                <w:sz w:val="24"/>
                <w:b/>
              </w:rPr>
              <w:t>服务方式</w:t>
            </w:r>
          </w:p>
        </w:tc>
        <w:tc>
          <w:tcPr>
            <w:tcW w:type="dxa" w:w="10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80"/>
              <w:jc w:val="both"/>
            </w:pPr>
            <w:r>
              <w:rPr>
                <w:rFonts w:ascii="宋体" w:hAnsi="宋体" w:cs="宋体" w:eastAsia="宋体"/>
                <w:sz w:val="24"/>
                <w:b/>
              </w:rPr>
              <w:t>服务期限</w:t>
            </w:r>
          </w:p>
        </w:tc>
        <w:tc>
          <w:tcPr>
            <w:tcW w:type="dxa" w:w="12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495"/>
              <w:jc w:val="both"/>
            </w:pPr>
            <w:r>
              <w:rPr>
                <w:rFonts w:ascii="宋体" w:hAnsi="宋体" w:cs="宋体" w:eastAsia="宋体"/>
                <w:sz w:val="24"/>
                <w:b/>
              </w:rPr>
              <w:t>备注</w:t>
            </w:r>
          </w:p>
        </w:tc>
      </w:tr>
      <w:tr>
        <w:tc>
          <w:tcPr>
            <w:tcW w:type="dxa" w:w="74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4"/>
              </w:rPr>
              <w:t>1</w:t>
            </w:r>
          </w:p>
        </w:tc>
        <w:tc>
          <w:tcPr>
            <w:tcW w:type="dxa" w:w="104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4"/>
              </w:rPr>
              <w:t>全省营运</w:t>
            </w:r>
            <w:r>
              <w:rPr>
                <w:rFonts w:ascii="calibri" w:hAnsi="calibri" w:cs="calibri" w:eastAsia="calibri"/>
                <w:sz w:val="21"/>
              </w:rPr>
              <w:t xml:space="preserve"> </w:t>
            </w:r>
            <w:r>
              <w:rPr>
                <w:rFonts w:ascii="宋体" w:hAnsi="宋体" w:cs="宋体" w:eastAsia="宋体"/>
                <w:sz w:val="24"/>
              </w:rPr>
              <w:t>车辆卫星</w:t>
            </w:r>
            <w:r>
              <w:rPr>
                <w:rFonts w:ascii="calibri" w:hAnsi="calibri" w:cs="calibri" w:eastAsia="calibri"/>
                <w:sz w:val="21"/>
              </w:rPr>
              <w:t xml:space="preserve"> </w:t>
            </w:r>
            <w:r>
              <w:rPr>
                <w:rFonts w:ascii="宋体" w:hAnsi="宋体" w:cs="宋体" w:eastAsia="宋体"/>
                <w:sz w:val="24"/>
              </w:rPr>
              <w:t>定位服务</w:t>
            </w:r>
            <w:r>
              <w:rPr>
                <w:rFonts w:ascii="calibri" w:hAnsi="calibri" w:cs="calibri" w:eastAsia="calibri"/>
                <w:sz w:val="21"/>
              </w:rPr>
              <w:t xml:space="preserve"> </w:t>
            </w:r>
            <w:r>
              <w:rPr>
                <w:rFonts w:ascii="宋体" w:hAnsi="宋体" w:cs="宋体" w:eastAsia="宋体"/>
                <w:sz w:val="24"/>
              </w:rPr>
              <w:t>平台运行</w:t>
            </w:r>
            <w:r>
              <w:rPr>
                <w:rFonts w:ascii="calibri" w:hAnsi="calibri" w:cs="calibri" w:eastAsia="calibri"/>
                <w:sz w:val="21"/>
              </w:rPr>
              <w:t xml:space="preserve"> </w:t>
            </w:r>
            <w:r>
              <w:rPr>
                <w:rFonts w:ascii="宋体" w:hAnsi="宋体" w:cs="宋体" w:eastAsia="宋体"/>
                <w:sz w:val="24"/>
              </w:rPr>
              <w:t>维护服务</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65" w:right="165"/>
              <w:jc w:val="both"/>
            </w:pPr>
            <w:r>
              <w:rPr>
                <w:rFonts w:ascii="宋体" w:hAnsi="宋体" w:cs="宋体" w:eastAsia="宋体"/>
                <w:sz w:val="24"/>
              </w:rPr>
              <w:t>平台日常</w:t>
            </w:r>
            <w:r>
              <w:rPr>
                <w:rFonts w:ascii="calibri" w:hAnsi="calibri" w:cs="calibri" w:eastAsia="calibri"/>
                <w:sz w:val="21"/>
              </w:rPr>
              <w:t xml:space="preserve"> </w:t>
            </w:r>
            <w:r>
              <w:rPr>
                <w:rFonts w:ascii="宋体" w:hAnsi="宋体" w:cs="宋体" w:eastAsia="宋体"/>
                <w:sz w:val="24"/>
              </w:rPr>
              <w:t>运维巡检</w:t>
            </w:r>
          </w:p>
        </w:tc>
        <w:tc>
          <w:tcPr>
            <w:tcW w:type="dxa" w:w="19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right="105" w:firstLine="8"/>
              <w:jc w:val="both"/>
            </w:pPr>
            <w:r>
              <w:rPr>
                <w:rFonts w:ascii="宋体" w:hAnsi="宋体" w:cs="宋体" w:eastAsia="宋体"/>
                <w:sz w:val="24"/>
              </w:rPr>
              <w:t>负责省级平台日常技术支</w:t>
            </w:r>
            <w:r>
              <w:rPr>
                <w:rFonts w:ascii="calibri" w:hAnsi="calibri" w:cs="calibri" w:eastAsia="calibri"/>
                <w:sz w:val="21"/>
              </w:rPr>
              <w:t xml:space="preserve"> </w:t>
            </w:r>
            <w:r>
              <w:rPr>
                <w:rFonts w:ascii="宋体" w:hAnsi="宋体" w:cs="宋体" w:eastAsia="宋体"/>
                <w:sz w:val="24"/>
              </w:rPr>
              <w:t>持，软、硬件故障排查和</w:t>
            </w:r>
            <w:r>
              <w:rPr>
                <w:rFonts w:ascii="calibri" w:hAnsi="calibri" w:cs="calibri" w:eastAsia="calibri"/>
                <w:sz w:val="21"/>
              </w:rPr>
              <w:t xml:space="preserve"> </w:t>
            </w:r>
            <w:r>
              <w:rPr>
                <w:rFonts w:ascii="宋体" w:hAnsi="宋体" w:cs="宋体" w:eastAsia="宋体"/>
                <w:sz w:val="24"/>
              </w:rPr>
              <w:t>修复等工作</w:t>
            </w:r>
          </w:p>
        </w:tc>
        <w:tc>
          <w:tcPr>
            <w:tcW w:type="dxa" w:w="103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4"/>
              </w:rPr>
              <w:t>现场驻点</w:t>
            </w:r>
          </w:p>
          <w:p>
            <w:pPr>
              <w:pStyle w:val="null3"/>
              <w:spacing w:before="75"/>
              <w:ind w:left="390" w:right="195"/>
              <w:jc w:val="both"/>
            </w:pPr>
            <w:r>
              <w:rPr>
                <w:rFonts w:ascii="宋体" w:hAnsi="宋体" w:cs="宋体" w:eastAsia="宋体"/>
                <w:sz w:val="24"/>
              </w:rPr>
              <w:t>（至少</w:t>
            </w:r>
            <w:r>
              <w:rPr>
                <w:rFonts w:ascii="calibri" w:hAnsi="calibri" w:cs="calibri" w:eastAsia="calibri"/>
                <w:sz w:val="21"/>
              </w:rPr>
              <w:t xml:space="preserve"> </w:t>
            </w:r>
            <w:r>
              <w:rPr>
                <w:rFonts w:ascii="宋体" w:hAnsi="宋体" w:cs="宋体" w:eastAsia="宋体"/>
                <w:sz w:val="24"/>
              </w:rPr>
              <w:t>2</w:t>
            </w:r>
            <w:r>
              <w:rPr>
                <w:rFonts w:ascii="calibri" w:hAnsi="calibri" w:cs="calibri" w:eastAsia="calibri"/>
                <w:sz w:val="21"/>
              </w:rPr>
              <w:t xml:space="preserve"> </w:t>
            </w:r>
            <w:r>
              <w:rPr>
                <w:rFonts w:ascii="宋体" w:hAnsi="宋体" w:cs="宋体" w:eastAsia="宋体"/>
                <w:sz w:val="24"/>
              </w:rPr>
              <w:t>人）</w:t>
            </w:r>
          </w:p>
        </w:tc>
        <w:tc>
          <w:tcPr>
            <w:tcW w:type="dxa" w:w="102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4"/>
              </w:rPr>
              <w:t>12</w:t>
            </w:r>
            <w:r>
              <w:rPr>
                <w:rFonts w:ascii="calibri" w:hAnsi="calibri" w:cs="calibri" w:eastAsia="calibri"/>
                <w:sz w:val="21"/>
              </w:rPr>
              <w:t xml:space="preserve"> </w:t>
            </w:r>
            <w:r>
              <w:rPr>
                <w:rFonts w:ascii="宋体" w:hAnsi="宋体" w:cs="宋体" w:eastAsia="宋体"/>
                <w:sz w:val="24"/>
              </w:rPr>
              <w:t>个月</w:t>
            </w:r>
          </w:p>
        </w:tc>
        <w:tc>
          <w:tcPr>
            <w:tcW w:type="dxa" w:w="123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pPr>
          </w:p>
        </w:tc>
      </w:tr>
      <w:tr>
        <w:tc>
          <w:tcPr>
            <w:tcW w:type="dxa" w:w="741"/>
            <w:vMerge/>
            <w:tcBorders>
              <w:top w:val="none" w:color="000000" w:sz="4"/>
              <w:left w:val="single" w:color="000000" w:sz="4"/>
              <w:bottom w:val="none" w:color="000000" w:sz="4"/>
              <w:right w:val="single" w:color="000000" w:sz="4"/>
            </w:tcBorders>
          </w:tcPr>
          <w:p/>
        </w:tc>
        <w:tc>
          <w:tcPr>
            <w:tcW w:type="dxa" w:w="1046"/>
            <w:vMerge/>
            <w:tcBorders>
              <w:top w:val="none" w:color="000000" w:sz="4"/>
              <w:left w:val="single" w:color="000000" w:sz="4"/>
              <w:bottom w:val="none" w:color="000000" w:sz="4"/>
              <w:right w:val="single" w:color="000000" w:sz="4"/>
            </w:tcBorders>
          </w:tcP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平台软件</w:t>
            </w:r>
            <w:r>
              <w:rPr>
                <w:rFonts w:ascii="calibri" w:hAnsi="calibri" w:cs="calibri" w:eastAsia="calibri"/>
                <w:sz w:val="21"/>
              </w:rPr>
              <w:t xml:space="preserve"> </w:t>
            </w:r>
            <w:r>
              <w:rPr>
                <w:rFonts w:ascii="宋体" w:hAnsi="宋体" w:cs="宋体" w:eastAsia="宋体"/>
                <w:sz w:val="24"/>
              </w:rPr>
              <w:t>升级优化</w:t>
            </w:r>
          </w:p>
        </w:tc>
        <w:tc>
          <w:tcPr>
            <w:tcW w:type="dxa" w:w="19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20" w:right="105" w:firstLine="5"/>
              <w:jc w:val="both"/>
            </w:pPr>
            <w:r>
              <w:rPr>
                <w:rFonts w:ascii="宋体" w:hAnsi="宋体" w:cs="宋体" w:eastAsia="宋体"/>
                <w:sz w:val="24"/>
              </w:rPr>
              <w:t>负责省级平台的系统运行</w:t>
            </w:r>
            <w:r>
              <w:rPr>
                <w:rFonts w:ascii="calibri" w:hAnsi="calibri" w:cs="calibri" w:eastAsia="calibri"/>
                <w:sz w:val="21"/>
              </w:rPr>
              <w:t xml:space="preserve"> </w:t>
            </w:r>
            <w:r>
              <w:rPr>
                <w:rFonts w:ascii="宋体" w:hAnsi="宋体" w:cs="宋体" w:eastAsia="宋体"/>
                <w:sz w:val="24"/>
              </w:rPr>
              <w:t>软件升级、优化完善工作</w:t>
            </w:r>
          </w:p>
        </w:tc>
        <w:tc>
          <w:tcPr>
            <w:tcW w:type="dxa" w:w="1036"/>
            <w:vMerge/>
            <w:tcBorders>
              <w:top w:val="none" w:color="000000" w:sz="4"/>
              <w:left w:val="single" w:color="000000" w:sz="4"/>
              <w:bottom w:val="none" w:color="000000" w:sz="4"/>
              <w:right w:val="single" w:color="000000" w:sz="4"/>
            </w:tcBorders>
          </w:tcPr>
          <w:p/>
        </w:tc>
        <w:tc>
          <w:tcPr>
            <w:tcW w:type="dxa" w:w="1027"/>
            <w:vMerge/>
            <w:tcBorders>
              <w:top w:val="none" w:color="000000" w:sz="4"/>
              <w:left w:val="single" w:color="000000" w:sz="4"/>
              <w:bottom w:val="none" w:color="000000" w:sz="4"/>
              <w:right w:val="single" w:color="000000" w:sz="4"/>
            </w:tcBorders>
          </w:tcPr>
          <w:p/>
        </w:tc>
        <w:tc>
          <w:tcPr>
            <w:tcW w:type="dxa" w:w="1233"/>
            <w:vMerge/>
            <w:tcBorders>
              <w:top w:val="none" w:color="000000" w:sz="4"/>
              <w:left w:val="single" w:color="000000" w:sz="4"/>
              <w:bottom w:val="none" w:color="000000" w:sz="4"/>
              <w:right w:val="single" w:color="000000" w:sz="4"/>
            </w:tcBorders>
          </w:tcPr>
          <w:p/>
        </w:tc>
      </w:tr>
      <w:tr>
        <w:tc>
          <w:tcPr>
            <w:tcW w:type="dxa" w:w="741"/>
            <w:vMerge/>
            <w:tcBorders>
              <w:top w:val="none" w:color="000000" w:sz="4"/>
              <w:left w:val="single" w:color="000000" w:sz="4"/>
              <w:bottom w:val="none" w:color="000000" w:sz="4"/>
              <w:right w:val="single" w:color="000000" w:sz="4"/>
            </w:tcBorders>
          </w:tcPr>
          <w:p/>
        </w:tc>
        <w:tc>
          <w:tcPr>
            <w:tcW w:type="dxa" w:w="1046"/>
            <w:vMerge/>
            <w:tcBorders>
              <w:top w:val="none" w:color="000000" w:sz="4"/>
              <w:left w:val="single" w:color="000000" w:sz="4"/>
              <w:bottom w:val="none" w:color="000000" w:sz="4"/>
              <w:right w:val="single" w:color="000000" w:sz="4"/>
            </w:tcBorders>
          </w:tcP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65" w:right="165"/>
              <w:jc w:val="both"/>
            </w:pPr>
            <w:r>
              <w:rPr>
                <w:rFonts w:ascii="宋体" w:hAnsi="宋体" w:cs="宋体" w:eastAsia="宋体"/>
                <w:sz w:val="24"/>
              </w:rPr>
              <w:t>平台软件</w:t>
            </w:r>
            <w:r>
              <w:rPr>
                <w:rFonts w:ascii="calibri" w:hAnsi="calibri" w:cs="calibri" w:eastAsia="calibri"/>
                <w:sz w:val="21"/>
              </w:rPr>
              <w:t xml:space="preserve"> </w:t>
            </w:r>
            <w:r>
              <w:rPr>
                <w:rFonts w:ascii="宋体" w:hAnsi="宋体" w:cs="宋体" w:eastAsia="宋体"/>
                <w:sz w:val="24"/>
              </w:rPr>
              <w:t>漏洞修改</w:t>
            </w:r>
          </w:p>
        </w:tc>
        <w:tc>
          <w:tcPr>
            <w:tcW w:type="dxa" w:w="19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105" w:firstLine="6"/>
              <w:jc w:val="both"/>
            </w:pPr>
            <w:r>
              <w:rPr>
                <w:rFonts w:ascii="宋体" w:hAnsi="宋体" w:cs="宋体" w:eastAsia="宋体"/>
                <w:sz w:val="24"/>
              </w:rPr>
              <w:t>负</w:t>
            </w:r>
            <w:r>
              <w:rPr>
                <w:rFonts w:ascii="calibri" w:hAnsi="calibri" w:cs="calibri" w:eastAsia="calibri"/>
                <w:sz w:val="21"/>
              </w:rPr>
              <w:t xml:space="preserve"> </w:t>
            </w:r>
            <w:r>
              <w:rPr>
                <w:rFonts w:ascii="宋体" w:hAnsi="宋体" w:cs="宋体" w:eastAsia="宋体"/>
                <w:sz w:val="24"/>
              </w:rPr>
              <w:t>责省级平台</w:t>
            </w:r>
            <w:r>
              <w:rPr>
                <w:rFonts w:ascii="calibri" w:hAnsi="calibri" w:cs="calibri" w:eastAsia="calibri"/>
                <w:sz w:val="21"/>
              </w:rPr>
              <w:t xml:space="preserve"> </w:t>
            </w:r>
            <w:r>
              <w:rPr>
                <w:rFonts w:ascii="宋体" w:hAnsi="宋体" w:cs="宋体" w:eastAsia="宋体"/>
                <w:sz w:val="24"/>
              </w:rPr>
              <w:t>的漏洞修</w:t>
            </w:r>
            <w:r>
              <w:rPr>
                <w:rFonts w:ascii="calibri" w:hAnsi="calibri" w:cs="calibri" w:eastAsia="calibri"/>
                <w:sz w:val="21"/>
              </w:rPr>
              <w:t xml:space="preserve"> </w:t>
            </w:r>
            <w:r>
              <w:rPr>
                <w:rFonts w:ascii="宋体" w:hAnsi="宋体" w:cs="宋体" w:eastAsia="宋体"/>
                <w:sz w:val="24"/>
              </w:rPr>
              <w:t>复，并配合完成系统安全</w:t>
            </w:r>
            <w:r>
              <w:rPr>
                <w:rFonts w:ascii="宋体" w:hAnsi="宋体" w:cs="宋体" w:eastAsia="宋体"/>
                <w:sz w:val="24"/>
              </w:rPr>
              <w:t xml:space="preserve"> </w:t>
            </w:r>
            <w:r>
              <w:rPr>
                <w:rFonts w:ascii="宋体" w:hAnsi="宋体" w:cs="宋体" w:eastAsia="宋体"/>
                <w:sz w:val="24"/>
              </w:rPr>
              <w:t>等保测评（三级）工作</w:t>
            </w:r>
          </w:p>
        </w:tc>
        <w:tc>
          <w:tcPr>
            <w:tcW w:type="dxa" w:w="1036"/>
            <w:vMerge/>
            <w:tcBorders>
              <w:top w:val="none" w:color="000000" w:sz="4"/>
              <w:left w:val="single" w:color="000000" w:sz="4"/>
              <w:bottom w:val="none" w:color="000000" w:sz="4"/>
              <w:right w:val="single" w:color="000000" w:sz="4"/>
            </w:tcBorders>
          </w:tcPr>
          <w:p/>
        </w:tc>
        <w:tc>
          <w:tcPr>
            <w:tcW w:type="dxa" w:w="1027"/>
            <w:vMerge/>
            <w:tcBorders>
              <w:top w:val="none" w:color="000000" w:sz="4"/>
              <w:left w:val="single" w:color="000000" w:sz="4"/>
              <w:bottom w:val="none" w:color="000000" w:sz="4"/>
              <w:right w:val="single" w:color="000000" w:sz="4"/>
            </w:tcBorders>
          </w:tcPr>
          <w:p/>
        </w:tc>
        <w:tc>
          <w:tcPr>
            <w:tcW w:type="dxa" w:w="1233"/>
            <w:vMerge/>
            <w:tcBorders>
              <w:top w:val="none" w:color="000000" w:sz="4"/>
              <w:left w:val="single" w:color="000000" w:sz="4"/>
              <w:bottom w:val="none" w:color="000000" w:sz="4"/>
              <w:right w:val="single" w:color="000000" w:sz="4"/>
            </w:tcBorders>
          </w:tcPr>
          <w:p/>
        </w:tc>
      </w:tr>
      <w:tr>
        <w:tc>
          <w:tcPr>
            <w:tcW w:type="dxa" w:w="741"/>
            <w:vMerge/>
            <w:tcBorders>
              <w:top w:val="none" w:color="000000" w:sz="4"/>
              <w:left w:val="single" w:color="000000" w:sz="4"/>
              <w:bottom w:val="none" w:color="000000" w:sz="4"/>
              <w:right w:val="single" w:color="000000" w:sz="4"/>
            </w:tcBorders>
          </w:tcPr>
          <w:p/>
        </w:tc>
        <w:tc>
          <w:tcPr>
            <w:tcW w:type="dxa" w:w="1046"/>
            <w:vMerge/>
            <w:tcBorders>
              <w:top w:val="none" w:color="000000" w:sz="4"/>
              <w:left w:val="single" w:color="000000" w:sz="4"/>
              <w:bottom w:val="none" w:color="000000" w:sz="4"/>
              <w:right w:val="single" w:color="000000" w:sz="4"/>
            </w:tcBorders>
          </w:tcP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270" w:right="165"/>
              <w:jc w:val="both"/>
            </w:pPr>
            <w:r>
              <w:rPr>
                <w:rFonts w:ascii="宋体" w:hAnsi="宋体" w:cs="宋体" w:eastAsia="宋体"/>
                <w:sz w:val="24"/>
              </w:rPr>
              <w:t>平台数据</w:t>
            </w:r>
            <w:r>
              <w:rPr>
                <w:rFonts w:ascii="calibri" w:hAnsi="calibri" w:cs="calibri" w:eastAsia="calibri"/>
                <w:sz w:val="21"/>
              </w:rPr>
              <w:t xml:space="preserve"> </w:t>
            </w:r>
            <w:r>
              <w:rPr>
                <w:rFonts w:ascii="宋体" w:hAnsi="宋体" w:cs="宋体" w:eastAsia="宋体"/>
                <w:sz w:val="24"/>
              </w:rPr>
              <w:t>库运维</w:t>
            </w:r>
          </w:p>
        </w:tc>
        <w:tc>
          <w:tcPr>
            <w:tcW w:type="dxa" w:w="19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right="105" w:firstLine="8"/>
              <w:jc w:val="both"/>
            </w:pPr>
            <w:r>
              <w:rPr>
                <w:rFonts w:ascii="宋体" w:hAnsi="宋体" w:cs="宋体" w:eastAsia="宋体"/>
                <w:sz w:val="24"/>
              </w:rPr>
              <w:t>负责省级平台基础库和轨</w:t>
            </w:r>
            <w:r>
              <w:rPr>
                <w:rFonts w:ascii="calibri" w:hAnsi="calibri" w:cs="calibri" w:eastAsia="calibri"/>
                <w:sz w:val="21"/>
              </w:rPr>
              <w:t xml:space="preserve"> </w:t>
            </w:r>
            <w:r>
              <w:rPr>
                <w:rFonts w:ascii="宋体" w:hAnsi="宋体" w:cs="宋体" w:eastAsia="宋体"/>
                <w:sz w:val="24"/>
              </w:rPr>
              <w:t>迹库等数据维护与备份工</w:t>
            </w:r>
            <w:r>
              <w:rPr>
                <w:rFonts w:ascii="calibri" w:hAnsi="calibri" w:cs="calibri" w:eastAsia="calibri"/>
                <w:sz w:val="21"/>
              </w:rPr>
              <w:t xml:space="preserve"> </w:t>
            </w:r>
            <w:r>
              <w:rPr>
                <w:rFonts w:ascii="宋体" w:hAnsi="宋体" w:cs="宋体" w:eastAsia="宋体"/>
                <w:sz w:val="24"/>
              </w:rPr>
              <w:t>作</w:t>
            </w:r>
          </w:p>
        </w:tc>
        <w:tc>
          <w:tcPr>
            <w:tcW w:type="dxa" w:w="1036"/>
            <w:vMerge/>
            <w:tcBorders>
              <w:top w:val="none" w:color="000000" w:sz="4"/>
              <w:left w:val="single" w:color="000000" w:sz="4"/>
              <w:bottom w:val="none" w:color="000000" w:sz="4"/>
              <w:right w:val="single" w:color="000000" w:sz="4"/>
            </w:tcBorders>
          </w:tcPr>
          <w:p/>
        </w:tc>
        <w:tc>
          <w:tcPr>
            <w:tcW w:type="dxa" w:w="1027"/>
            <w:vMerge/>
            <w:tcBorders>
              <w:top w:val="none" w:color="000000" w:sz="4"/>
              <w:left w:val="single" w:color="000000" w:sz="4"/>
              <w:bottom w:val="none" w:color="000000" w:sz="4"/>
              <w:right w:val="single" w:color="000000" w:sz="4"/>
            </w:tcBorders>
          </w:tcPr>
          <w:p/>
        </w:tc>
        <w:tc>
          <w:tcPr>
            <w:tcW w:type="dxa" w:w="1233"/>
            <w:vMerge/>
            <w:tcBorders>
              <w:top w:val="none" w:color="000000" w:sz="4"/>
              <w:left w:val="single" w:color="000000" w:sz="4"/>
              <w:bottom w:val="none" w:color="000000" w:sz="4"/>
              <w:right w:val="single" w:color="000000" w:sz="4"/>
            </w:tcBorders>
          </w:tcPr>
          <w:p/>
        </w:tc>
      </w:tr>
      <w:tr>
        <w:tc>
          <w:tcPr>
            <w:tcW w:type="dxa" w:w="741"/>
            <w:vMerge/>
            <w:tcBorders>
              <w:top w:val="none" w:color="000000" w:sz="4"/>
              <w:left w:val="single" w:color="000000" w:sz="4"/>
              <w:bottom w:val="none" w:color="000000" w:sz="4"/>
              <w:right w:val="single" w:color="000000" w:sz="4"/>
            </w:tcBorders>
          </w:tcPr>
          <w:p/>
        </w:tc>
        <w:tc>
          <w:tcPr>
            <w:tcW w:type="dxa" w:w="1046"/>
            <w:vMerge/>
            <w:tcBorders>
              <w:top w:val="none" w:color="000000" w:sz="4"/>
              <w:left w:val="single" w:color="000000" w:sz="4"/>
              <w:bottom w:val="none" w:color="000000" w:sz="4"/>
              <w:right w:val="single" w:color="000000" w:sz="4"/>
            </w:tcBorders>
          </w:tcP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4"/>
              </w:rPr>
              <w:t>数据共享</w:t>
            </w:r>
            <w:r>
              <w:rPr>
                <w:rFonts w:ascii="calibri" w:hAnsi="calibri" w:cs="calibri" w:eastAsia="calibri"/>
                <w:sz w:val="21"/>
              </w:rPr>
              <w:t xml:space="preserve"> </w:t>
            </w:r>
            <w:r>
              <w:rPr>
                <w:rFonts w:ascii="宋体" w:hAnsi="宋体" w:cs="宋体" w:eastAsia="宋体"/>
                <w:sz w:val="24"/>
              </w:rPr>
              <w:t>对接</w:t>
            </w:r>
          </w:p>
        </w:tc>
        <w:tc>
          <w:tcPr>
            <w:tcW w:type="dxa" w:w="19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105" w:firstLine="7"/>
              <w:jc w:val="both"/>
            </w:pPr>
            <w:r>
              <w:rPr>
                <w:rFonts w:ascii="宋体" w:hAnsi="宋体" w:cs="宋体" w:eastAsia="宋体"/>
                <w:sz w:val="24"/>
              </w:rPr>
              <w:t>负责省级平台与公安、安</w:t>
            </w:r>
            <w:r>
              <w:rPr>
                <w:rFonts w:ascii="calibri" w:hAnsi="calibri" w:cs="calibri" w:eastAsia="calibri"/>
                <w:sz w:val="21"/>
              </w:rPr>
              <w:t xml:space="preserve"> </w:t>
            </w:r>
            <w:r>
              <w:rPr>
                <w:rFonts w:ascii="宋体" w:hAnsi="宋体" w:cs="宋体" w:eastAsia="宋体"/>
                <w:sz w:val="24"/>
              </w:rPr>
              <w:t>监、环保等政府部门平台</w:t>
            </w:r>
            <w:r>
              <w:rPr>
                <w:rFonts w:ascii="calibri" w:hAnsi="calibri" w:cs="calibri" w:eastAsia="calibri"/>
                <w:sz w:val="21"/>
              </w:rPr>
              <w:t xml:space="preserve"> </w:t>
            </w:r>
            <w:r>
              <w:rPr>
                <w:rFonts w:ascii="宋体" w:hAnsi="宋体" w:cs="宋体" w:eastAsia="宋体"/>
                <w:sz w:val="24"/>
              </w:rPr>
              <w:t>的数据传输接口运行保障</w:t>
            </w:r>
            <w:r>
              <w:rPr>
                <w:rFonts w:ascii="宋体" w:hAnsi="宋体" w:cs="宋体" w:eastAsia="宋体"/>
                <w:sz w:val="24"/>
              </w:rPr>
              <w:t>工作</w:t>
            </w:r>
          </w:p>
        </w:tc>
        <w:tc>
          <w:tcPr>
            <w:tcW w:type="dxa" w:w="1036"/>
            <w:vMerge/>
            <w:tcBorders>
              <w:top w:val="none" w:color="000000" w:sz="4"/>
              <w:left w:val="single" w:color="000000" w:sz="4"/>
              <w:bottom w:val="none" w:color="000000" w:sz="4"/>
              <w:right w:val="single" w:color="000000" w:sz="4"/>
            </w:tcBorders>
          </w:tcPr>
          <w:p/>
        </w:tc>
        <w:tc>
          <w:tcPr>
            <w:tcW w:type="dxa" w:w="1027"/>
            <w:vMerge/>
            <w:tcBorders>
              <w:top w:val="none" w:color="000000" w:sz="4"/>
              <w:left w:val="single" w:color="000000" w:sz="4"/>
              <w:bottom w:val="none" w:color="000000" w:sz="4"/>
              <w:right w:val="single" w:color="000000" w:sz="4"/>
            </w:tcBorders>
          </w:tcPr>
          <w:p/>
        </w:tc>
        <w:tc>
          <w:tcPr>
            <w:tcW w:type="dxa" w:w="1233"/>
            <w:vMerge/>
            <w:tcBorders>
              <w:top w:val="none" w:color="000000" w:sz="4"/>
              <w:left w:val="single" w:color="000000" w:sz="4"/>
              <w:bottom w:val="none" w:color="000000" w:sz="4"/>
              <w:right w:val="single" w:color="000000" w:sz="4"/>
            </w:tcBorders>
          </w:tcPr>
          <w:p/>
        </w:tc>
      </w:tr>
      <w:tr>
        <w:tc>
          <w:tcPr>
            <w:tcW w:type="dxa" w:w="741"/>
            <w:vMerge/>
            <w:tcBorders>
              <w:top w:val="none" w:color="000000" w:sz="4"/>
              <w:left w:val="single" w:color="000000" w:sz="4"/>
              <w:bottom w:val="none" w:color="000000" w:sz="4"/>
              <w:right w:val="single" w:color="000000" w:sz="4"/>
            </w:tcBorders>
          </w:tcPr>
          <w:p/>
        </w:tc>
        <w:tc>
          <w:tcPr>
            <w:tcW w:type="dxa" w:w="1046"/>
            <w:vMerge/>
            <w:tcBorders>
              <w:top w:val="none" w:color="000000" w:sz="4"/>
              <w:left w:val="single" w:color="000000" w:sz="4"/>
              <w:bottom w:val="none" w:color="000000" w:sz="4"/>
              <w:right w:val="single" w:color="000000" w:sz="4"/>
            </w:tcBorders>
          </w:tcP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4"/>
              </w:rPr>
              <w:t>技术支持</w:t>
            </w:r>
            <w:r>
              <w:rPr>
                <w:rFonts w:ascii="calibri" w:hAnsi="calibri" w:cs="calibri" w:eastAsia="calibri"/>
                <w:sz w:val="21"/>
              </w:rPr>
              <w:t xml:space="preserve"> </w:t>
            </w:r>
            <w:r>
              <w:rPr>
                <w:rFonts w:ascii="宋体" w:hAnsi="宋体" w:cs="宋体" w:eastAsia="宋体"/>
                <w:sz w:val="24"/>
              </w:rPr>
              <w:t>服务</w:t>
            </w:r>
          </w:p>
        </w:tc>
        <w:tc>
          <w:tcPr>
            <w:tcW w:type="dxa" w:w="19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right="105" w:firstLine="2"/>
              <w:jc w:val="both"/>
            </w:pPr>
            <w:r>
              <w:rPr>
                <w:rFonts w:ascii="宋体" w:hAnsi="宋体" w:cs="宋体" w:eastAsia="宋体"/>
                <w:sz w:val="24"/>
              </w:rPr>
              <w:t>为道路运输企业或卫星定</w:t>
            </w:r>
            <w:r>
              <w:rPr>
                <w:rFonts w:ascii="calibri" w:hAnsi="calibri" w:cs="calibri" w:eastAsia="calibri"/>
                <w:sz w:val="21"/>
              </w:rPr>
              <w:t xml:space="preserve"> </w:t>
            </w:r>
            <w:r>
              <w:rPr>
                <w:rFonts w:ascii="宋体" w:hAnsi="宋体" w:cs="宋体" w:eastAsia="宋体"/>
                <w:sz w:val="24"/>
              </w:rPr>
              <w:t>位运营服务商提供业务咨</w:t>
            </w:r>
            <w:r>
              <w:rPr>
                <w:rFonts w:ascii="calibri" w:hAnsi="calibri" w:cs="calibri" w:eastAsia="calibri"/>
                <w:sz w:val="21"/>
              </w:rPr>
              <w:t xml:space="preserve"> </w:t>
            </w:r>
            <w:r>
              <w:rPr>
                <w:rFonts w:ascii="宋体" w:hAnsi="宋体" w:cs="宋体" w:eastAsia="宋体"/>
                <w:sz w:val="24"/>
              </w:rPr>
              <w:t>询、技术对接和数据联调</w:t>
            </w:r>
            <w:r>
              <w:rPr>
                <w:rFonts w:ascii="calibri" w:hAnsi="calibri" w:cs="calibri" w:eastAsia="calibri"/>
                <w:sz w:val="21"/>
              </w:rPr>
              <w:t xml:space="preserve"> </w:t>
            </w:r>
            <w:r>
              <w:rPr>
                <w:rFonts w:ascii="宋体" w:hAnsi="宋体" w:cs="宋体" w:eastAsia="宋体"/>
                <w:sz w:val="24"/>
              </w:rPr>
              <w:t>等技术支持服务</w:t>
            </w:r>
          </w:p>
        </w:tc>
        <w:tc>
          <w:tcPr>
            <w:tcW w:type="dxa" w:w="1036"/>
            <w:vMerge/>
            <w:tcBorders>
              <w:top w:val="none" w:color="000000" w:sz="4"/>
              <w:left w:val="single" w:color="000000" w:sz="4"/>
              <w:bottom w:val="none" w:color="000000" w:sz="4"/>
              <w:right w:val="single" w:color="000000" w:sz="4"/>
            </w:tcBorders>
          </w:tcPr>
          <w:p/>
        </w:tc>
        <w:tc>
          <w:tcPr>
            <w:tcW w:type="dxa" w:w="1027"/>
            <w:vMerge/>
            <w:tcBorders>
              <w:top w:val="none" w:color="000000" w:sz="4"/>
              <w:left w:val="single" w:color="000000" w:sz="4"/>
              <w:bottom w:val="none" w:color="000000" w:sz="4"/>
              <w:right w:val="single" w:color="000000" w:sz="4"/>
            </w:tcBorders>
          </w:tcPr>
          <w:p/>
        </w:tc>
        <w:tc>
          <w:tcPr>
            <w:tcW w:type="dxa" w:w="1233"/>
            <w:vMerge/>
            <w:tcBorders>
              <w:top w:val="none" w:color="000000" w:sz="4"/>
              <w:left w:val="single" w:color="000000" w:sz="4"/>
              <w:bottom w:val="none" w:color="000000" w:sz="4"/>
              <w:right w:val="single" w:color="000000" w:sz="4"/>
            </w:tcBorders>
          </w:tcPr>
          <w:p/>
        </w:tc>
      </w:tr>
      <w:tr>
        <w:tc>
          <w:tcPr>
            <w:tcW w:type="dxa" w:w="741"/>
            <w:vMerge/>
            <w:tcBorders>
              <w:top w:val="none" w:color="000000" w:sz="4"/>
              <w:left w:val="single" w:color="000000" w:sz="4"/>
              <w:bottom w:val="none" w:color="000000" w:sz="4"/>
              <w:right w:val="single" w:color="000000" w:sz="4"/>
            </w:tcBorders>
          </w:tcPr>
          <w:p/>
        </w:tc>
        <w:tc>
          <w:tcPr>
            <w:tcW w:type="dxa" w:w="1046"/>
            <w:vMerge/>
            <w:tcBorders>
              <w:top w:val="none" w:color="000000" w:sz="4"/>
              <w:left w:val="single" w:color="000000" w:sz="4"/>
              <w:bottom w:val="none" w:color="000000" w:sz="4"/>
              <w:right w:val="single" w:color="000000" w:sz="4"/>
            </w:tcBorders>
          </w:tcP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4"/>
              </w:rPr>
              <w:t>督导培训</w:t>
            </w:r>
            <w:r>
              <w:rPr>
                <w:rFonts w:ascii="calibri" w:hAnsi="calibri" w:cs="calibri" w:eastAsia="calibri"/>
                <w:sz w:val="21"/>
              </w:rPr>
              <w:t xml:space="preserve"> </w:t>
            </w:r>
            <w:r>
              <w:rPr>
                <w:rFonts w:ascii="宋体" w:hAnsi="宋体" w:cs="宋体" w:eastAsia="宋体"/>
                <w:sz w:val="24"/>
              </w:rPr>
              <w:t>服务</w:t>
            </w:r>
          </w:p>
        </w:tc>
        <w:tc>
          <w:tcPr>
            <w:tcW w:type="dxa" w:w="19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right="105"/>
              <w:jc w:val="both"/>
            </w:pPr>
            <w:r>
              <w:rPr>
                <w:rFonts w:ascii="宋体" w:hAnsi="宋体" w:cs="宋体" w:eastAsia="宋体"/>
                <w:sz w:val="24"/>
              </w:rPr>
              <w:t>配合管理部门对车辆动态</w:t>
            </w:r>
            <w:r>
              <w:rPr>
                <w:rFonts w:ascii="calibri" w:hAnsi="calibri" w:cs="calibri" w:eastAsia="calibri"/>
                <w:sz w:val="21"/>
              </w:rPr>
              <w:t xml:space="preserve"> </w:t>
            </w:r>
            <w:r>
              <w:rPr>
                <w:rFonts w:ascii="宋体" w:hAnsi="宋体" w:cs="宋体" w:eastAsia="宋体"/>
                <w:sz w:val="24"/>
              </w:rPr>
              <w:t>监管工作进行督导、检查</w:t>
            </w:r>
            <w:r>
              <w:rPr>
                <w:rFonts w:ascii="宋体" w:hAnsi="宋体" w:cs="宋体" w:eastAsia="宋体"/>
                <w:sz w:val="24"/>
              </w:rPr>
              <w:t>和考核，根据管理部门要</w:t>
            </w:r>
            <w:r>
              <w:rPr>
                <w:rFonts w:ascii="宋体" w:hAnsi="宋体" w:cs="宋体" w:eastAsia="宋体"/>
                <w:sz w:val="24"/>
              </w:rPr>
              <w:t>求开展动态监管相关培训</w:t>
            </w:r>
            <w:r>
              <w:rPr>
                <w:rFonts w:ascii="宋体" w:hAnsi="宋体" w:cs="宋体" w:eastAsia="宋体"/>
                <w:sz w:val="24"/>
              </w:rPr>
              <w:t>工作。</w:t>
            </w:r>
          </w:p>
        </w:tc>
        <w:tc>
          <w:tcPr>
            <w:tcW w:type="dxa" w:w="1036"/>
            <w:vMerge/>
            <w:tcBorders>
              <w:top w:val="none" w:color="000000" w:sz="4"/>
              <w:left w:val="single" w:color="000000" w:sz="4"/>
              <w:bottom w:val="none" w:color="000000" w:sz="4"/>
              <w:right w:val="single" w:color="000000" w:sz="4"/>
            </w:tcBorders>
          </w:tcPr>
          <w:p/>
        </w:tc>
        <w:tc>
          <w:tcPr>
            <w:tcW w:type="dxa" w:w="1027"/>
            <w:vMerge/>
            <w:tcBorders>
              <w:top w:val="none" w:color="000000" w:sz="4"/>
              <w:left w:val="single" w:color="000000" w:sz="4"/>
              <w:bottom w:val="none" w:color="000000" w:sz="4"/>
              <w:right w:val="single" w:color="000000" w:sz="4"/>
            </w:tcBorders>
          </w:tcPr>
          <w:p/>
        </w:tc>
        <w:tc>
          <w:tcPr>
            <w:tcW w:type="dxa" w:w="1233"/>
            <w:vMerge/>
            <w:tcBorders>
              <w:top w:val="none" w:color="000000" w:sz="4"/>
              <w:left w:val="single" w:color="000000" w:sz="4"/>
              <w:bottom w:val="none" w:color="000000" w:sz="4"/>
              <w:right w:val="single" w:color="000000" w:sz="4"/>
            </w:tcBorders>
          </w:tcPr>
          <w:p/>
        </w:tc>
      </w:tr>
    </w:tbl>
    <w:p>
      <w:pPr>
        <w:pStyle w:val="null3"/>
        <w:ind w:firstLine="512"/>
        <w:jc w:val="left"/>
      </w:pPr>
      <w:r>
        <w:rPr/>
        <w:t xml:space="preserve"> </w:t>
      </w:r>
    </w:p>
    <w:p>
      <w:pPr>
        <w:pStyle w:val="null3"/>
        <w:ind w:firstLine="500"/>
        <w:jc w:val="left"/>
      </w:pPr>
      <w:r>
        <w:rPr>
          <w:rFonts w:ascii="宋体" w:hAnsi="宋体" w:cs="宋体" w:eastAsia="宋体"/>
          <w:sz w:val="24"/>
        </w:rPr>
        <w:t>★</w:t>
      </w:r>
      <w:r>
        <w:rPr>
          <w:rFonts w:ascii="宋体" w:hAnsi="宋体" w:cs="宋体" w:eastAsia="宋体"/>
          <w:sz w:val="24"/>
        </w:rPr>
        <w:t>表</w:t>
      </w:r>
      <w:r>
        <w:rPr>
          <w:rFonts w:ascii="calibri" w:hAnsi="calibri" w:cs="calibri" w:eastAsia="calibri"/>
          <w:sz w:val="21"/>
        </w:rPr>
        <w:t xml:space="preserve"> </w:t>
      </w:r>
      <w:r>
        <w:rPr>
          <w:rFonts w:ascii="宋体" w:hAnsi="宋体" w:cs="宋体" w:eastAsia="宋体"/>
          <w:sz w:val="24"/>
        </w:rPr>
        <w:t>1</w:t>
      </w:r>
      <w:r>
        <w:rPr>
          <w:rFonts w:ascii="宋体" w:hAnsi="宋体" w:cs="宋体" w:eastAsia="宋体"/>
          <w:sz w:val="24"/>
        </w:rPr>
        <w:t>-2  全省营运车辆卫星定位服务平台功能升级优化内容表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84"/>
        <w:gridCol w:w="1194"/>
        <w:gridCol w:w="6426"/>
      </w:tblGrid>
      <w:tr>
        <w:tc>
          <w:tcPr>
            <w:tcW w:type="dxa" w:w="684"/>
            <w:tcBorders>
              <w:top w:val="double" w:color="000000" w:sz="4"/>
              <w:left w:val="double" w:color="000000" w:sz="4"/>
              <w:bottom w:val="double" w:color="000000" w:sz="4"/>
              <w:right w:val="double" w:color="000000" w:sz="4"/>
            </w:tcBorders>
            <w:tcMar>
              <w:top w:type="dxa" w:w="0"/>
              <w:left w:type="dxa" w:w="0"/>
              <w:bottom w:type="dxa" w:w="0"/>
              <w:right w:type="dxa" w:w="0"/>
            </w:tcMar>
            <w:vAlign w:val="top"/>
          </w:tcPr>
          <w:p>
            <w:pPr>
              <w:pStyle w:val="null3"/>
              <w:spacing w:before="210"/>
              <w:ind w:left="150"/>
              <w:jc w:val="both"/>
            </w:pPr>
            <w:r>
              <w:rPr>
                <w:rFonts w:ascii="宋体" w:hAnsi="宋体" w:cs="宋体" w:eastAsia="宋体"/>
                <w:sz w:val="24"/>
                <w:b/>
              </w:rPr>
              <w:t>序号</w:t>
            </w:r>
          </w:p>
        </w:tc>
        <w:tc>
          <w:tcPr>
            <w:tcW w:type="dxa" w:w="1194"/>
            <w:tcBorders>
              <w:top w:val="double" w:color="000000" w:sz="4"/>
              <w:left w:val="double" w:color="000000" w:sz="4"/>
              <w:bottom w:val="double" w:color="000000" w:sz="4"/>
              <w:right w:val="double" w:color="000000" w:sz="4"/>
            </w:tcBorders>
            <w:tcMar>
              <w:top w:type="dxa" w:w="0"/>
              <w:left w:type="dxa" w:w="0"/>
              <w:bottom w:type="dxa" w:w="0"/>
              <w:right w:type="dxa" w:w="0"/>
            </w:tcMar>
            <w:vAlign w:val="top"/>
          </w:tcPr>
          <w:p>
            <w:pPr>
              <w:pStyle w:val="null3"/>
              <w:spacing w:before="210"/>
              <w:ind w:left="210"/>
              <w:jc w:val="both"/>
            </w:pPr>
            <w:r>
              <w:rPr>
                <w:rFonts w:ascii="宋体" w:hAnsi="宋体" w:cs="宋体" w:eastAsia="宋体"/>
                <w:sz w:val="24"/>
                <w:b/>
              </w:rPr>
              <w:t>项目名称</w:t>
            </w:r>
          </w:p>
        </w:tc>
        <w:tc>
          <w:tcPr>
            <w:tcW w:type="dxa" w:w="6426"/>
            <w:tcBorders>
              <w:top w:val="double" w:color="000000" w:sz="4"/>
              <w:left w:val="double" w:color="000000" w:sz="4"/>
              <w:bottom w:val="double" w:color="000000" w:sz="4"/>
              <w:right w:val="double" w:color="000000" w:sz="4"/>
            </w:tcBorders>
            <w:tcMar>
              <w:top w:type="dxa" w:w="0"/>
              <w:left w:type="dxa" w:w="0"/>
              <w:bottom w:type="dxa" w:w="0"/>
              <w:right w:type="dxa" w:w="0"/>
            </w:tcMar>
            <w:vAlign w:val="top"/>
          </w:tcPr>
          <w:p>
            <w:pPr>
              <w:pStyle w:val="null3"/>
              <w:spacing w:before="210"/>
              <w:ind w:left="2940"/>
              <w:jc w:val="both"/>
            </w:pPr>
            <w:r>
              <w:rPr>
                <w:rFonts w:ascii="宋体" w:hAnsi="宋体" w:cs="宋体" w:eastAsia="宋体"/>
                <w:sz w:val="24"/>
                <w:b/>
              </w:rPr>
              <w:t>功能模块</w:t>
            </w:r>
          </w:p>
        </w:tc>
      </w:tr>
      <w:tr>
        <w:tc>
          <w:tcPr>
            <w:tcW w:type="dxa" w:w="684"/>
            <w:tcBorders>
              <w:top w:val="none" w:color="000000" w:sz="4"/>
              <w:left w:val="double" w:color="000000" w:sz="4"/>
              <w:bottom w:val="double" w:color="000000" w:sz="4"/>
              <w:right w:val="double" w:color="000000" w:sz="4"/>
            </w:tcBorders>
            <w:tcMar>
              <w:top w:type="dxa" w:w="0"/>
              <w:left w:type="dxa" w:w="0"/>
              <w:bottom w:type="dxa" w:w="0"/>
              <w:right w:type="dxa" w:w="0"/>
            </w:tcMar>
            <w:vAlign w:val="top"/>
          </w:tcPr>
          <w:p>
            <w:pPr>
              <w:pStyle w:val="null3"/>
            </w:pPr>
            <w:r>
              <w:rPr>
                <w:rFonts w:ascii="宋体" w:hAnsi="宋体" w:cs="宋体" w:eastAsia="宋体"/>
                <w:sz w:val="24"/>
              </w:rPr>
              <w:t>1</w:t>
            </w:r>
          </w:p>
        </w:tc>
        <w:tc>
          <w:tcPr>
            <w:tcW w:type="dxa" w:w="1194"/>
            <w:tcBorders>
              <w:top w:val="none" w:color="000000" w:sz="4"/>
              <w:left w:val="double" w:color="000000" w:sz="4"/>
              <w:bottom w:val="double" w:color="000000" w:sz="4"/>
              <w:right w:val="double" w:color="000000" w:sz="4"/>
            </w:tcBorders>
            <w:tcMar>
              <w:top w:type="dxa" w:w="0"/>
              <w:left w:type="dxa" w:w="0"/>
              <w:bottom w:type="dxa" w:w="0"/>
              <w:right w:type="dxa" w:w="0"/>
            </w:tcMar>
            <w:vAlign w:val="top"/>
          </w:tcPr>
          <w:p>
            <w:pPr>
              <w:pStyle w:val="null3"/>
            </w:pPr>
            <w:r>
              <w:rPr>
                <w:rFonts w:ascii="宋体" w:hAnsi="宋体" w:cs="宋体" w:eastAsia="宋体"/>
                <w:sz w:val="24"/>
              </w:rPr>
              <w:t>全省营运车</w:t>
            </w:r>
            <w:r>
              <w:rPr>
                <w:rFonts w:ascii="calibri" w:hAnsi="calibri" w:cs="calibri" w:eastAsia="calibri"/>
                <w:sz w:val="21"/>
              </w:rPr>
              <w:t xml:space="preserve"> </w:t>
            </w:r>
            <w:r>
              <w:rPr>
                <w:rFonts w:ascii="宋体" w:hAnsi="宋体" w:cs="宋体" w:eastAsia="宋体"/>
                <w:sz w:val="24"/>
              </w:rPr>
              <w:t>辆卫星定位</w:t>
            </w:r>
            <w:r>
              <w:rPr>
                <w:rFonts w:ascii="calibri" w:hAnsi="calibri" w:cs="calibri" w:eastAsia="calibri"/>
                <w:sz w:val="21"/>
              </w:rPr>
              <w:t xml:space="preserve"> </w:t>
            </w:r>
            <w:r>
              <w:rPr>
                <w:rFonts w:ascii="宋体" w:hAnsi="宋体" w:cs="宋体" w:eastAsia="宋体"/>
                <w:sz w:val="24"/>
              </w:rPr>
              <w:t>服务平台运</w:t>
            </w:r>
            <w:r>
              <w:rPr>
                <w:rFonts w:ascii="calibri" w:hAnsi="calibri" w:cs="calibri" w:eastAsia="calibri"/>
                <w:sz w:val="21"/>
              </w:rPr>
              <w:t xml:space="preserve"> </w:t>
            </w:r>
            <w:r>
              <w:rPr>
                <w:rFonts w:ascii="宋体" w:hAnsi="宋体" w:cs="宋体" w:eastAsia="宋体"/>
                <w:sz w:val="24"/>
              </w:rPr>
              <w:t>行维护服务</w:t>
            </w:r>
          </w:p>
        </w:tc>
        <w:tc>
          <w:tcPr>
            <w:tcW w:type="dxa" w:w="6426"/>
            <w:tcBorders>
              <w:top w:val="none" w:color="000000" w:sz="4"/>
              <w:left w:val="double" w:color="000000" w:sz="4"/>
              <w:bottom w:val="double" w:color="000000" w:sz="4"/>
              <w:right w:val="double" w:color="000000" w:sz="4"/>
            </w:tcBorders>
            <w:tcMar>
              <w:top w:type="dxa" w:w="0"/>
              <w:left w:type="dxa" w:w="0"/>
              <w:bottom w:type="dxa" w:w="0"/>
              <w:right w:type="dxa" w:w="0"/>
            </w:tcMar>
            <w:vAlign w:val="top"/>
          </w:tcPr>
          <w:p>
            <w:pPr>
              <w:pStyle w:val="null3"/>
              <w:spacing w:before="90"/>
              <w:ind w:left="30" w:right="15" w:firstLine="17"/>
              <w:jc w:val="both"/>
            </w:pPr>
            <w:r>
              <w:rPr>
                <w:rFonts w:ascii="宋体" w:hAnsi="宋体" w:cs="宋体" w:eastAsia="宋体"/>
                <w:sz w:val="24"/>
              </w:rPr>
              <w:t>1.根据要求修改考核算法，更新轨迹重复率、车辆在线率、报</w:t>
            </w:r>
            <w:r>
              <w:rPr>
                <w:rFonts w:ascii="宋体" w:hAnsi="宋体" w:cs="宋体" w:eastAsia="宋体"/>
                <w:sz w:val="24"/>
              </w:rPr>
              <w:t>警处置率等考核内容指标算法，并调整现有指标的分值比例和优化算法。</w:t>
            </w:r>
          </w:p>
          <w:p>
            <w:pPr>
              <w:pStyle w:val="null3"/>
              <w:spacing w:before="165"/>
              <w:ind w:left="30" w:right="15"/>
              <w:jc w:val="both"/>
            </w:pPr>
            <w:r>
              <w:rPr>
                <w:rFonts w:ascii="宋体" w:hAnsi="宋体" w:cs="宋体" w:eastAsia="宋体"/>
                <w:sz w:val="24"/>
              </w:rPr>
              <w:t>2.升级轨迹存储数据库,应用</w:t>
            </w:r>
            <w:r>
              <w:rPr>
                <w:rFonts w:ascii="calibri" w:hAnsi="calibri" w:cs="calibri" w:eastAsia="calibri"/>
                <w:sz w:val="21"/>
              </w:rPr>
              <w:t xml:space="preserve"> </w:t>
            </w:r>
            <w:r>
              <w:rPr>
                <w:rFonts w:ascii="宋体" w:hAnsi="宋体" w:cs="宋体" w:eastAsia="宋体"/>
                <w:sz w:val="24"/>
              </w:rPr>
              <w:t>BinLog 存储技</w:t>
            </w:r>
            <w:r>
              <w:rPr>
                <w:rFonts w:ascii="宋体" w:hAnsi="宋体" w:cs="宋体" w:eastAsia="宋体"/>
                <w:sz w:val="24"/>
              </w:rPr>
              <w:t>术作为数据池，降低</w:t>
            </w:r>
            <w:r>
              <w:rPr>
                <w:rFonts w:ascii="宋体" w:hAnsi="宋体" w:cs="宋体" w:eastAsia="宋体"/>
                <w:sz w:val="24"/>
              </w:rPr>
              <w:t>轨迹数据库的内存占用率。</w:t>
            </w:r>
          </w:p>
          <w:p>
            <w:pPr>
              <w:pStyle w:val="null3"/>
              <w:spacing w:before="165"/>
              <w:ind w:left="30" w:right="105" w:firstLine="2"/>
              <w:jc w:val="both"/>
            </w:pPr>
            <w:r>
              <w:rPr>
                <w:rFonts w:ascii="宋体" w:hAnsi="宋体" w:cs="宋体" w:eastAsia="宋体"/>
                <w:sz w:val="24"/>
              </w:rPr>
              <w:t>3.升级</w:t>
            </w:r>
            <w:r>
              <w:rPr>
                <w:rFonts w:ascii="calibri" w:hAnsi="calibri" w:cs="calibri" w:eastAsia="calibri"/>
                <w:sz w:val="21"/>
              </w:rPr>
              <w:t xml:space="preserve"> </w:t>
            </w:r>
            <w:r>
              <w:rPr>
                <w:rFonts w:ascii="宋体" w:hAnsi="宋体" w:cs="宋体" w:eastAsia="宋体"/>
                <w:sz w:val="24"/>
              </w:rPr>
              <w:t>API接口网关，增加大量并发请求的队列机制，在</w:t>
            </w:r>
            <w:r>
              <w:rPr>
                <w:rFonts w:ascii="宋体" w:hAnsi="宋体" w:cs="宋体" w:eastAsia="宋体"/>
                <w:sz w:val="24"/>
              </w:rPr>
              <w:t>高峰</w:t>
            </w:r>
            <w:r>
              <w:rPr>
                <w:rFonts w:ascii="calibri" w:hAnsi="calibri" w:cs="calibri" w:eastAsia="calibri"/>
                <w:sz w:val="21"/>
              </w:rPr>
              <w:t xml:space="preserve"> </w:t>
            </w:r>
            <w:r>
              <w:rPr>
                <w:rFonts w:ascii="宋体" w:hAnsi="宋体" w:cs="宋体" w:eastAsia="宋体"/>
                <w:sz w:val="24"/>
              </w:rPr>
              <w:t>请求时段或受到并发请求攻击时进行削锋，提高系统稳定性。</w:t>
            </w:r>
          </w:p>
          <w:p>
            <w:pPr>
              <w:pStyle w:val="null3"/>
              <w:spacing w:before="165"/>
              <w:ind w:left="30" w:right="135"/>
              <w:jc w:val="both"/>
            </w:pPr>
            <w:r>
              <w:rPr>
                <w:rFonts w:ascii="宋体" w:hAnsi="宋体" w:cs="宋体" w:eastAsia="宋体"/>
                <w:sz w:val="24"/>
              </w:rPr>
              <w:t>4.完成与省运输中心包车系统接口开发并实现数据对接，获取</w:t>
            </w:r>
            <w:r>
              <w:rPr>
                <w:rFonts w:ascii="宋体" w:hAnsi="宋体" w:cs="宋体" w:eastAsia="宋体"/>
                <w:sz w:val="24"/>
              </w:rPr>
              <w:t>全省旅游包车经营范围、运营线路等数据。</w:t>
            </w:r>
          </w:p>
          <w:p>
            <w:pPr>
              <w:pStyle w:val="null3"/>
              <w:spacing w:before="165"/>
              <w:ind w:left="30" w:right="135" w:firstLine="1"/>
              <w:jc w:val="both"/>
            </w:pPr>
            <w:r>
              <w:rPr>
                <w:rFonts w:ascii="宋体" w:hAnsi="宋体" w:cs="宋体" w:eastAsia="宋体"/>
                <w:sz w:val="24"/>
              </w:rPr>
              <w:t xml:space="preserve">5.升级用户日志记录模块，在执行登录等敏感操作时能在负载 </w:t>
            </w:r>
            <w:r>
              <w:rPr>
                <w:rFonts w:ascii="宋体" w:hAnsi="宋体" w:cs="宋体" w:eastAsia="宋体"/>
                <w:sz w:val="24"/>
              </w:rPr>
              <w:t>均衡之后的内部网络追溯执行该操作的源</w:t>
            </w:r>
            <w:r>
              <w:rPr>
                <w:rFonts w:ascii="calibri" w:hAnsi="calibri" w:cs="calibri" w:eastAsia="calibri"/>
                <w:sz w:val="21"/>
              </w:rPr>
              <w:t xml:space="preserve"> </w:t>
            </w:r>
            <w:r>
              <w:rPr>
                <w:rFonts w:ascii="宋体" w:hAnsi="宋体" w:cs="宋体" w:eastAsia="宋体"/>
                <w:sz w:val="24"/>
              </w:rPr>
              <w:t>IP 地址。</w:t>
            </w:r>
          </w:p>
          <w:p>
            <w:pPr>
              <w:pStyle w:val="null3"/>
              <w:spacing w:before="165"/>
              <w:ind w:left="30" w:right="135"/>
              <w:jc w:val="both"/>
            </w:pPr>
            <w:r>
              <w:rPr>
                <w:rFonts w:ascii="宋体" w:hAnsi="宋体" w:cs="宋体" w:eastAsia="宋体"/>
                <w:sz w:val="24"/>
              </w:rPr>
              <w:t>6.实现下级平台的补传轨迹收集和分析功能，在次日凌晨</w:t>
            </w:r>
            <w:r>
              <w:rPr>
                <w:rFonts w:ascii="calibri" w:hAnsi="calibri" w:cs="calibri" w:eastAsia="calibri"/>
                <w:sz w:val="21"/>
              </w:rPr>
              <w:t xml:space="preserve"> </w:t>
            </w:r>
            <w:r>
              <w:rPr>
                <w:rFonts w:ascii="宋体" w:hAnsi="宋体" w:cs="宋体" w:eastAsia="宋体"/>
                <w:sz w:val="24"/>
              </w:rPr>
              <w:t>3</w:t>
            </w:r>
            <w:r>
              <w:rPr>
                <w:rFonts w:ascii="calibri" w:hAnsi="calibri" w:cs="calibri" w:eastAsia="calibri"/>
                <w:sz w:val="21"/>
              </w:rPr>
              <w:t xml:space="preserve"> </w:t>
            </w:r>
            <w:r>
              <w:rPr>
                <w:rFonts w:ascii="宋体" w:hAnsi="宋体" w:cs="宋体" w:eastAsia="宋体"/>
                <w:sz w:val="24"/>
              </w:rPr>
              <w:t>点</w:t>
            </w:r>
            <w:r>
              <w:rPr>
                <w:rFonts w:ascii="calibri" w:hAnsi="calibri" w:cs="calibri" w:eastAsia="calibri"/>
                <w:sz w:val="21"/>
              </w:rPr>
              <w:t xml:space="preserve"> </w:t>
            </w:r>
            <w:r>
              <w:rPr>
                <w:rFonts w:ascii="宋体" w:hAnsi="宋体" w:cs="宋体" w:eastAsia="宋体"/>
                <w:sz w:val="24"/>
              </w:rPr>
              <w:t>执行补传轨迹的二次分析，生成更精准的数据分析结果。</w:t>
            </w:r>
          </w:p>
          <w:p>
            <w:pPr>
              <w:pStyle w:val="null3"/>
              <w:spacing w:before="165"/>
              <w:ind w:left="30" w:right="45"/>
              <w:jc w:val="both"/>
            </w:pPr>
            <w:r>
              <w:rPr>
                <w:rFonts w:ascii="宋体" w:hAnsi="宋体" w:cs="宋体" w:eastAsia="宋体"/>
                <w:sz w:val="24"/>
              </w:rPr>
              <w:t>7.按管理需求细化报警处理状态，新增“终端故障”</w:t>
            </w:r>
            <w:r>
              <w:rPr>
                <w:rFonts w:ascii="calibri" w:hAnsi="calibri" w:cs="calibri" w:eastAsia="calibri"/>
                <w:sz w:val="21"/>
              </w:rPr>
              <w:t xml:space="preserve"> </w:t>
            </w:r>
            <w:r>
              <w:rPr>
                <w:rFonts w:ascii="宋体" w:hAnsi="宋体" w:cs="宋体" w:eastAsia="宋体"/>
                <w:sz w:val="24"/>
              </w:rPr>
              <w:t>、</w:t>
            </w:r>
            <w:r>
              <w:rPr>
                <w:rFonts w:ascii="宋体" w:hAnsi="宋体" w:cs="宋体" w:eastAsia="宋体"/>
                <w:sz w:val="24"/>
              </w:rPr>
              <w:t>“驾驶员教</w:t>
            </w:r>
            <w:r>
              <w:rPr>
                <w:rFonts w:ascii="calibri" w:hAnsi="calibri" w:cs="calibri" w:eastAsia="calibri"/>
                <w:sz w:val="21"/>
              </w:rPr>
              <w:t xml:space="preserve"> </w:t>
            </w:r>
            <w:r>
              <w:rPr>
                <w:rFonts w:ascii="宋体" w:hAnsi="宋体" w:cs="宋体" w:eastAsia="宋体"/>
                <w:sz w:val="24"/>
              </w:rPr>
              <w:t>育培训</w:t>
            </w:r>
            <w:r>
              <w:rPr>
                <w:rFonts w:ascii="宋体" w:hAnsi="宋体" w:cs="宋体" w:eastAsia="宋体"/>
                <w:sz w:val="24"/>
              </w:rPr>
              <w:t>”</w:t>
            </w:r>
            <w:r>
              <w:rPr>
                <w:rFonts w:ascii="calibri" w:hAnsi="calibri" w:cs="calibri" w:eastAsia="calibri"/>
                <w:sz w:val="21"/>
              </w:rPr>
              <w:t xml:space="preserve"> </w:t>
            </w:r>
            <w:r>
              <w:rPr>
                <w:rFonts w:ascii="宋体" w:hAnsi="宋体" w:cs="宋体" w:eastAsia="宋体"/>
                <w:sz w:val="24"/>
              </w:rPr>
              <w:t>、</w:t>
            </w:r>
            <w:r>
              <w:rPr>
                <w:rFonts w:ascii="宋体" w:hAnsi="宋体" w:cs="宋体" w:eastAsia="宋体"/>
                <w:sz w:val="24"/>
              </w:rPr>
              <w:t>“驾驶员经济处罚”</w:t>
            </w:r>
            <w:r>
              <w:rPr>
                <w:rFonts w:ascii="calibri" w:hAnsi="calibri" w:cs="calibri" w:eastAsia="calibri"/>
                <w:sz w:val="21"/>
              </w:rPr>
              <w:t xml:space="preserve"> </w:t>
            </w:r>
            <w:r>
              <w:rPr>
                <w:rFonts w:ascii="宋体" w:hAnsi="宋体" w:cs="宋体" w:eastAsia="宋体"/>
                <w:sz w:val="24"/>
              </w:rPr>
              <w:t>、</w:t>
            </w:r>
            <w:r>
              <w:rPr>
                <w:rFonts w:ascii="宋体" w:hAnsi="宋体" w:cs="宋体" w:eastAsia="宋体"/>
                <w:sz w:val="24"/>
              </w:rPr>
              <w:t>“约谈运输企业负责人”</w:t>
            </w:r>
            <w:r>
              <w:rPr>
                <w:rFonts w:ascii="calibri" w:hAnsi="calibri" w:cs="calibri" w:eastAsia="calibri"/>
                <w:sz w:val="21"/>
              </w:rPr>
              <w:t xml:space="preserve"> </w:t>
            </w:r>
            <w:r>
              <w:rPr>
                <w:rFonts w:ascii="宋体" w:hAnsi="宋体" w:cs="宋体" w:eastAsia="宋体"/>
                <w:sz w:val="24"/>
              </w:rPr>
              <w:t>、</w:t>
            </w:r>
            <w:r>
              <w:rPr>
                <w:rFonts w:ascii="宋体" w:hAnsi="宋体" w:cs="宋体" w:eastAsia="宋体"/>
                <w:sz w:val="24"/>
              </w:rPr>
              <w:t>“处罚运</w:t>
            </w:r>
            <w:r>
              <w:rPr>
                <w:rFonts w:ascii="calibri" w:hAnsi="calibri" w:cs="calibri" w:eastAsia="calibri"/>
                <w:sz w:val="21"/>
              </w:rPr>
              <w:t xml:space="preserve"> </w:t>
            </w:r>
            <w:r>
              <w:rPr>
                <w:rFonts w:ascii="宋体" w:hAnsi="宋体" w:cs="宋体" w:eastAsia="宋体"/>
                <w:sz w:val="24"/>
              </w:rPr>
              <w:t>输企业</w:t>
            </w:r>
            <w:r>
              <w:rPr>
                <w:rFonts w:ascii="宋体" w:hAnsi="宋体" w:cs="宋体" w:eastAsia="宋体"/>
                <w:sz w:val="24"/>
              </w:rPr>
              <w:t>”</w:t>
            </w:r>
            <w:r>
              <w:rPr>
                <w:rFonts w:ascii="calibri" w:hAnsi="calibri" w:cs="calibri" w:eastAsia="calibri"/>
                <w:sz w:val="21"/>
              </w:rPr>
              <w:t xml:space="preserve"> </w:t>
            </w:r>
            <w:r>
              <w:rPr>
                <w:rFonts w:ascii="宋体" w:hAnsi="宋体" w:cs="宋体" w:eastAsia="宋体"/>
                <w:sz w:val="24"/>
              </w:rPr>
              <w:t>、</w:t>
            </w:r>
            <w:r>
              <w:rPr>
                <w:rFonts w:ascii="宋体" w:hAnsi="宋体" w:cs="宋体" w:eastAsia="宋体"/>
                <w:sz w:val="24"/>
              </w:rPr>
              <w:t>“停运整顿”</w:t>
            </w:r>
            <w:r>
              <w:rPr>
                <w:rFonts w:ascii="calibri" w:hAnsi="calibri" w:cs="calibri" w:eastAsia="calibri"/>
                <w:sz w:val="21"/>
              </w:rPr>
              <w:t xml:space="preserve"> </w:t>
            </w:r>
            <w:r>
              <w:rPr>
                <w:rFonts w:ascii="宋体" w:hAnsi="宋体" w:cs="宋体" w:eastAsia="宋体"/>
                <w:sz w:val="24"/>
              </w:rPr>
              <w:t>，并与全省运营商联调。</w:t>
            </w:r>
          </w:p>
          <w:p>
            <w:pPr>
              <w:pStyle w:val="null3"/>
              <w:spacing w:before="165"/>
              <w:ind w:left="30" w:firstLine="1"/>
              <w:jc w:val="both"/>
            </w:pPr>
            <w:r>
              <w:rPr>
                <w:rFonts w:ascii="宋体" w:hAnsi="宋体" w:cs="宋体" w:eastAsia="宋体"/>
                <w:sz w:val="24"/>
              </w:rPr>
              <w:t>8.增加预警处置统计视图，能够直观地显示预警总数、已处置、</w:t>
            </w:r>
            <w:r>
              <w:rPr>
                <w:rFonts w:ascii="calibri" w:hAnsi="calibri" w:cs="calibri" w:eastAsia="calibri"/>
                <w:sz w:val="21"/>
              </w:rPr>
              <w:t xml:space="preserve"> </w:t>
            </w:r>
            <w:r>
              <w:rPr>
                <w:rFonts w:ascii="宋体" w:hAnsi="宋体" w:cs="宋体" w:eastAsia="宋体"/>
                <w:sz w:val="24"/>
              </w:rPr>
              <w:t>未处置总数，并且可以根据时间范围筛选查看历史情况。</w:t>
            </w:r>
          </w:p>
          <w:p>
            <w:pPr>
              <w:pStyle w:val="null3"/>
              <w:spacing w:before="165"/>
              <w:ind w:left="30" w:right="135"/>
              <w:jc w:val="both"/>
            </w:pPr>
            <w:r>
              <w:rPr>
                <w:rFonts w:ascii="宋体" w:hAnsi="宋体" w:cs="宋体" w:eastAsia="宋体"/>
                <w:sz w:val="24"/>
              </w:rPr>
              <w:t>9.根据考核管理要求，调整月报、半月报的文档模版格式，并</w:t>
            </w:r>
            <w:r>
              <w:rPr>
                <w:rFonts w:ascii="宋体" w:hAnsi="宋体" w:cs="宋体" w:eastAsia="宋体"/>
                <w:sz w:val="24"/>
              </w:rPr>
              <w:t>应用在日常考核中。</w:t>
            </w:r>
          </w:p>
          <w:p>
            <w:pPr>
              <w:pStyle w:val="null3"/>
              <w:spacing w:before="165"/>
              <w:ind w:left="30" w:right="135" w:firstLine="9"/>
              <w:jc w:val="both"/>
            </w:pPr>
            <w:r>
              <w:rPr>
                <w:rFonts w:ascii="宋体" w:hAnsi="宋体" w:cs="宋体" w:eastAsia="宋体"/>
                <w:sz w:val="24"/>
              </w:rPr>
              <w:t>10.细化系统各功能权限，各项模块和数据增、删、改、查等功</w:t>
            </w:r>
            <w:r>
              <w:rPr>
                <w:rFonts w:ascii="宋体" w:hAnsi="宋体" w:cs="宋体" w:eastAsia="宋体"/>
                <w:sz w:val="24"/>
              </w:rPr>
              <w:t>能实现自定义分配。</w:t>
            </w:r>
          </w:p>
          <w:p>
            <w:pPr>
              <w:pStyle w:val="null3"/>
              <w:spacing w:before="150"/>
              <w:ind w:left="45"/>
              <w:jc w:val="both"/>
            </w:pPr>
            <w:r>
              <w:rPr>
                <w:rFonts w:ascii="宋体" w:hAnsi="宋体" w:cs="宋体" w:eastAsia="宋体"/>
                <w:sz w:val="24"/>
              </w:rPr>
              <w:t>11.新增历史未入网车辆查询</w:t>
            </w:r>
            <w:r>
              <w:rPr>
                <w:rFonts w:ascii="宋体" w:hAnsi="宋体" w:cs="宋体" w:eastAsia="宋体"/>
                <w:sz w:val="24"/>
              </w:rPr>
              <w:t>,</w:t>
            </w:r>
            <w:r>
              <w:rPr>
                <w:rFonts w:ascii="宋体" w:hAnsi="宋体" w:cs="宋体" w:eastAsia="宋体"/>
                <w:sz w:val="24"/>
              </w:rPr>
              <w:t>实现未入网车辆倒查。</w:t>
            </w:r>
          </w:p>
        </w:tc>
      </w:tr>
    </w:tbl>
    <w:p>
      <w:pPr>
        <w:pStyle w:val="null3"/>
        <w:ind w:firstLine="482"/>
        <w:jc w:val="left"/>
      </w:pPr>
      <w:r>
        <w:rPr>
          <w:rFonts w:ascii="宋体" w:hAnsi="宋体" w:cs="宋体" w:eastAsia="宋体"/>
          <w:sz w:val="24"/>
          <w:b/>
          <w:color w:val="000000"/>
        </w:rPr>
        <w:t>（项号</w:t>
      </w:r>
      <w:r>
        <w:rPr>
          <w:rFonts w:ascii="宋体" w:hAnsi="宋体" w:cs="宋体" w:eastAsia="宋体"/>
          <w:sz w:val="24"/>
          <w:b/>
          <w:color w:val="000000"/>
        </w:rPr>
        <w:t>8）</w:t>
      </w:r>
      <w:r>
        <w:rPr>
          <w:rFonts w:ascii="宋体" w:hAnsi="宋体" w:cs="宋体" w:eastAsia="宋体"/>
          <w:sz w:val="24"/>
          <w:b/>
        </w:rPr>
        <w:t>1</w:t>
      </w:r>
      <w:r>
        <w:rPr>
          <w:rFonts w:ascii="宋体" w:hAnsi="宋体" w:cs="宋体" w:eastAsia="宋体"/>
          <w:sz w:val="24"/>
          <w:b/>
        </w:rPr>
        <w:t>.4运维服务方式</w:t>
      </w:r>
    </w:p>
    <w:p>
      <w:pPr>
        <w:pStyle w:val="null3"/>
        <w:ind w:firstLine="480"/>
        <w:jc w:val="left"/>
      </w:pPr>
      <w:r>
        <w:rPr>
          <w:rFonts w:ascii="宋体" w:hAnsi="宋体" w:cs="宋体" w:eastAsia="宋体"/>
          <w:sz w:val="24"/>
        </w:rPr>
        <w:t>运维服务方式包括电话咨询、远程服务、现</w:t>
      </w:r>
      <w:r>
        <w:rPr>
          <w:rFonts w:ascii="宋体" w:hAnsi="宋体" w:cs="宋体" w:eastAsia="宋体"/>
          <w:sz w:val="24"/>
        </w:rPr>
        <w:t>场服务、技术会商服务。</w:t>
      </w:r>
    </w:p>
    <w:p>
      <w:pPr>
        <w:pStyle w:val="null3"/>
        <w:ind w:firstLine="482"/>
        <w:jc w:val="left"/>
      </w:pPr>
      <w:r>
        <w:rPr>
          <w:rFonts w:ascii="宋体" w:hAnsi="宋体" w:cs="宋体" w:eastAsia="宋体"/>
          <w:sz w:val="24"/>
          <w:b/>
          <w:color w:val="000000"/>
        </w:rPr>
        <w:t>（项号</w:t>
      </w:r>
      <w:r>
        <w:rPr>
          <w:rFonts w:ascii="宋体" w:hAnsi="宋体" w:cs="宋体" w:eastAsia="宋体"/>
          <w:sz w:val="24"/>
          <w:b/>
          <w:color w:val="000000"/>
        </w:rPr>
        <w:t>9）</w:t>
      </w:r>
      <w:r>
        <w:rPr>
          <w:rFonts w:ascii="宋体" w:hAnsi="宋体" w:cs="宋体" w:eastAsia="宋体"/>
          <w:sz w:val="24"/>
        </w:rPr>
        <w:t>1.电话咨询</w:t>
      </w:r>
    </w:p>
    <w:p>
      <w:pPr>
        <w:pStyle w:val="null3"/>
        <w:ind w:firstLine="472"/>
        <w:jc w:val="left"/>
      </w:pPr>
      <w:r>
        <w:rPr>
          <w:rFonts w:ascii="宋体" w:hAnsi="宋体" w:cs="宋体" w:eastAsia="宋体"/>
          <w:sz w:val="24"/>
        </w:rPr>
        <w:t>在系统运行期间，应向所有运行维护服务对象提供电话热线，提供业务和技术咨询</w:t>
      </w:r>
      <w:r>
        <w:rPr>
          <w:rFonts w:ascii="宋体" w:hAnsi="宋体" w:cs="宋体" w:eastAsia="宋体"/>
          <w:sz w:val="24"/>
        </w:rPr>
        <w:t>服务。在</w:t>
      </w:r>
      <w:r>
        <w:rPr>
          <w:rFonts w:ascii="calibri" w:hAnsi="calibri" w:cs="calibri" w:eastAsia="calibri"/>
          <w:sz w:val="21"/>
        </w:rPr>
        <w:t xml:space="preserve"> </w:t>
      </w:r>
      <w:r>
        <w:rPr>
          <w:rFonts w:ascii="宋体" w:hAnsi="宋体" w:cs="宋体" w:eastAsia="宋体"/>
          <w:sz w:val="24"/>
        </w:rPr>
        <w:t>5*8</w:t>
      </w:r>
      <w:r>
        <w:rPr>
          <w:rFonts w:ascii="calibri" w:hAnsi="calibri" w:cs="calibri" w:eastAsia="calibri"/>
          <w:sz w:val="21"/>
        </w:rPr>
        <w:t xml:space="preserve"> </w:t>
      </w:r>
      <w:r>
        <w:rPr>
          <w:rFonts w:ascii="宋体" w:hAnsi="宋体" w:cs="宋体" w:eastAsia="宋体"/>
          <w:sz w:val="24"/>
        </w:rPr>
        <w:t>小时工作时间内设置</w:t>
      </w:r>
      <w:r>
        <w:rPr>
          <w:rFonts w:ascii="calibri" w:hAnsi="calibri" w:cs="calibri" w:eastAsia="calibri"/>
          <w:sz w:val="21"/>
        </w:rPr>
        <w:t xml:space="preserve"> </w:t>
      </w:r>
      <w:r>
        <w:rPr>
          <w:rFonts w:ascii="宋体" w:hAnsi="宋体" w:cs="宋体" w:eastAsia="宋体"/>
          <w:sz w:val="24"/>
        </w:rPr>
        <w:t>1</w:t>
      </w:r>
      <w:r>
        <w:rPr>
          <w:rFonts w:ascii="calibri" w:hAnsi="calibri" w:cs="calibri" w:eastAsia="calibri"/>
          <w:sz w:val="21"/>
        </w:rPr>
        <w:t xml:space="preserve"> </w:t>
      </w:r>
      <w:r>
        <w:rPr>
          <w:rFonts w:ascii="宋体" w:hAnsi="宋体" w:cs="宋体" w:eastAsia="宋体"/>
          <w:sz w:val="24"/>
        </w:rPr>
        <w:t>路专人值守的热线电话，轮流接听内部的服务请求，</w:t>
      </w:r>
      <w:r>
        <w:rPr>
          <w:rFonts w:ascii="宋体" w:hAnsi="宋体" w:cs="宋体" w:eastAsia="宋体"/>
          <w:sz w:val="24"/>
        </w:rPr>
        <w:t>并记录服务台事件处理结果；在非工作时间（含节假日）设置</w:t>
      </w:r>
      <w:r>
        <w:rPr>
          <w:rFonts w:ascii="calibri" w:hAnsi="calibri" w:cs="calibri" w:eastAsia="calibri"/>
          <w:sz w:val="21"/>
        </w:rPr>
        <w:t xml:space="preserve"> </w:t>
      </w:r>
      <w:r>
        <w:rPr>
          <w:rFonts w:ascii="宋体" w:hAnsi="宋体" w:cs="宋体" w:eastAsia="宋体"/>
          <w:sz w:val="24"/>
        </w:rPr>
        <w:t>1</w:t>
      </w:r>
      <w:r>
        <w:rPr>
          <w:rFonts w:ascii="calibri" w:hAnsi="calibri" w:cs="calibri" w:eastAsia="calibri"/>
          <w:sz w:val="21"/>
        </w:rPr>
        <w:t xml:space="preserve"> </w:t>
      </w:r>
      <w:r>
        <w:rPr>
          <w:rFonts w:ascii="宋体" w:hAnsi="宋体" w:cs="宋体" w:eastAsia="宋体"/>
          <w:sz w:val="24"/>
        </w:rPr>
        <w:t>路</w:t>
      </w:r>
      <w:r>
        <w:rPr>
          <w:rFonts w:ascii="calibri" w:hAnsi="calibri" w:cs="calibri" w:eastAsia="calibri"/>
          <w:sz w:val="21"/>
        </w:rPr>
        <w:t xml:space="preserve"> </w:t>
      </w:r>
      <w:r>
        <w:rPr>
          <w:rFonts w:ascii="宋体" w:hAnsi="宋体" w:cs="宋体" w:eastAsia="宋体"/>
          <w:sz w:val="24"/>
        </w:rPr>
        <w:t>7*24</w:t>
      </w:r>
      <w:r>
        <w:rPr>
          <w:rFonts w:ascii="calibri" w:hAnsi="calibri" w:cs="calibri" w:eastAsia="calibri"/>
          <w:sz w:val="21"/>
        </w:rPr>
        <w:t xml:space="preserve"> </w:t>
      </w:r>
      <w:r>
        <w:rPr>
          <w:rFonts w:ascii="宋体" w:hAnsi="宋体" w:cs="宋体" w:eastAsia="宋体"/>
          <w:sz w:val="24"/>
        </w:rPr>
        <w:t>小时接听手机</w:t>
      </w:r>
      <w:r>
        <w:rPr>
          <w:rFonts w:ascii="calibri" w:hAnsi="calibri" w:cs="calibri" w:eastAsia="calibri"/>
          <w:sz w:val="21"/>
        </w:rPr>
        <w:t xml:space="preserve"> </w:t>
      </w:r>
      <w:r>
        <w:rPr>
          <w:rFonts w:ascii="宋体" w:hAnsi="宋体" w:cs="宋体" w:eastAsia="宋体"/>
          <w:sz w:val="24"/>
        </w:rPr>
        <w:t>热线，用于解决系统内部的技术问题以及接听处理有关情况，并在</w:t>
      </w:r>
      <w:r>
        <w:rPr>
          <w:rFonts w:ascii="calibri" w:hAnsi="calibri" w:cs="calibri" w:eastAsia="calibri"/>
          <w:sz w:val="21"/>
        </w:rPr>
        <w:t xml:space="preserve"> </w:t>
      </w:r>
      <w:r>
        <w:rPr>
          <w:rFonts w:ascii="宋体" w:hAnsi="宋体" w:cs="宋体" w:eastAsia="宋体"/>
          <w:sz w:val="24"/>
        </w:rPr>
        <w:t>30</w:t>
      </w:r>
      <w:r>
        <w:rPr>
          <w:rFonts w:ascii="calibri" w:hAnsi="calibri" w:cs="calibri" w:eastAsia="calibri"/>
          <w:sz w:val="21"/>
        </w:rPr>
        <w:t xml:space="preserve"> </w:t>
      </w:r>
      <w:r>
        <w:rPr>
          <w:rFonts w:ascii="宋体" w:hAnsi="宋体" w:cs="宋体" w:eastAsia="宋体"/>
          <w:sz w:val="24"/>
        </w:rPr>
        <w:t>分</w:t>
      </w:r>
      <w:r>
        <w:rPr>
          <w:rFonts w:ascii="宋体" w:hAnsi="宋体" w:cs="宋体" w:eastAsia="宋体"/>
          <w:sz w:val="24"/>
        </w:rPr>
        <w:t>钟内响应。</w:t>
      </w:r>
    </w:p>
    <w:p>
      <w:pPr>
        <w:pStyle w:val="null3"/>
        <w:ind w:firstLine="472"/>
        <w:jc w:val="left"/>
      </w:pPr>
      <w:r>
        <w:rPr>
          <w:rFonts w:ascii="宋体" w:hAnsi="宋体" w:cs="宋体" w:eastAsia="宋体"/>
          <w:sz w:val="24"/>
        </w:rPr>
        <w:t>2.</w:t>
      </w:r>
      <w:r>
        <w:rPr>
          <w:rFonts w:ascii="宋体" w:hAnsi="宋体" w:cs="宋体" w:eastAsia="宋体"/>
          <w:sz w:val="24"/>
          <w:color w:val="000000"/>
        </w:rPr>
        <w:t>现场</w:t>
      </w:r>
      <w:r>
        <w:rPr>
          <w:rFonts w:ascii="宋体" w:hAnsi="宋体" w:cs="宋体" w:eastAsia="宋体"/>
          <w:sz w:val="24"/>
        </w:rPr>
        <w:t>服务</w:t>
      </w:r>
    </w:p>
    <w:p>
      <w:pPr>
        <w:pStyle w:val="null3"/>
        <w:ind w:firstLine="500"/>
        <w:jc w:val="left"/>
      </w:pPr>
      <w:r>
        <w:rPr>
          <w:rFonts w:ascii="宋体" w:hAnsi="宋体" w:cs="宋体" w:eastAsia="宋体"/>
          <w:sz w:val="24"/>
        </w:rPr>
        <w:t>★</w:t>
      </w:r>
      <w:r>
        <w:rPr>
          <w:rFonts w:ascii="宋体" w:hAnsi="宋体" w:cs="宋体" w:eastAsia="宋体"/>
          <w:sz w:val="24"/>
        </w:rPr>
        <w:t>需要至少</w:t>
      </w:r>
      <w:r>
        <w:rPr>
          <w:rFonts w:ascii="calibri" w:hAnsi="calibri" w:cs="calibri" w:eastAsia="calibri"/>
          <w:sz w:val="21"/>
        </w:rPr>
        <w:t xml:space="preserve"> </w:t>
      </w:r>
      <w:r>
        <w:rPr>
          <w:rFonts w:ascii="宋体" w:hAnsi="宋体" w:cs="宋体" w:eastAsia="宋体"/>
          <w:sz w:val="24"/>
        </w:rPr>
        <w:t>2</w:t>
      </w:r>
      <w:r>
        <w:rPr>
          <w:rFonts w:ascii="calibri" w:hAnsi="calibri" w:cs="calibri" w:eastAsia="calibri"/>
          <w:sz w:val="21"/>
        </w:rPr>
        <w:t xml:space="preserve"> </w:t>
      </w:r>
      <w:r>
        <w:rPr>
          <w:rFonts w:ascii="宋体" w:hAnsi="宋体" w:cs="宋体" w:eastAsia="宋体"/>
          <w:sz w:val="24"/>
        </w:rPr>
        <w:t>名具备独立工作能力和经验的人员常驻现场，定期对项目中的软、硬件</w:t>
      </w:r>
      <w:r>
        <w:rPr>
          <w:rFonts w:ascii="宋体" w:hAnsi="宋体" w:cs="宋体" w:eastAsia="宋体"/>
          <w:sz w:val="24"/>
        </w:rPr>
        <w:t xml:space="preserve"> </w:t>
      </w:r>
      <w:r>
        <w:rPr>
          <w:rFonts w:ascii="宋体" w:hAnsi="宋体" w:cs="宋体" w:eastAsia="宋体"/>
          <w:sz w:val="24"/>
        </w:rPr>
        <w:t>进行巡检维护，提供现场技术支持服务，确保平台高效、</w:t>
      </w:r>
      <w:r>
        <w:rPr>
          <w:rFonts w:ascii="宋体" w:hAnsi="宋体" w:cs="宋体" w:eastAsia="宋体"/>
          <w:sz w:val="24"/>
        </w:rPr>
        <w:t>安全、稳定的运行。</w:t>
      </w:r>
    </w:p>
    <w:p>
      <w:pPr>
        <w:pStyle w:val="null3"/>
        <w:ind w:firstLine="482"/>
        <w:jc w:val="left"/>
      </w:pPr>
      <w:r>
        <w:rPr>
          <w:rFonts w:ascii="宋体" w:hAnsi="宋体" w:cs="宋体" w:eastAsia="宋体"/>
          <w:sz w:val="24"/>
          <w:b/>
          <w:color w:val="000000"/>
        </w:rPr>
        <w:t>（项号</w:t>
      </w:r>
      <w:r>
        <w:rPr>
          <w:rFonts w:ascii="宋体" w:hAnsi="宋体" w:cs="宋体" w:eastAsia="宋体"/>
          <w:sz w:val="24"/>
          <w:b/>
          <w:color w:val="000000"/>
        </w:rPr>
        <w:t>10）</w:t>
      </w:r>
      <w:r>
        <w:rPr>
          <w:rFonts w:ascii="宋体" w:hAnsi="宋体" w:cs="宋体" w:eastAsia="宋体"/>
          <w:sz w:val="24"/>
        </w:rPr>
        <w:t>3.</w:t>
      </w:r>
      <w:r>
        <w:rPr>
          <w:rFonts w:ascii="宋体" w:hAnsi="宋体" w:cs="宋体" w:eastAsia="宋体"/>
          <w:sz w:val="24"/>
          <w:color w:val="000000"/>
        </w:rPr>
        <w:t>远程</w:t>
      </w:r>
      <w:r>
        <w:rPr>
          <w:rFonts w:ascii="宋体" w:hAnsi="宋体" w:cs="宋体" w:eastAsia="宋体"/>
          <w:sz w:val="24"/>
        </w:rPr>
        <w:t>服务</w:t>
      </w:r>
    </w:p>
    <w:p>
      <w:pPr>
        <w:pStyle w:val="null3"/>
        <w:ind w:firstLine="480"/>
        <w:jc w:val="left"/>
      </w:pPr>
      <w:r>
        <w:rPr>
          <w:rFonts w:ascii="宋体" w:hAnsi="宋体" w:cs="宋体" w:eastAsia="宋体"/>
          <w:sz w:val="24"/>
          <w:color w:val="000000"/>
        </w:rPr>
        <w:t>现场</w:t>
      </w:r>
      <w:r>
        <w:rPr>
          <w:rFonts w:ascii="宋体" w:hAnsi="宋体" w:cs="宋体" w:eastAsia="宋体"/>
          <w:sz w:val="24"/>
        </w:rPr>
        <w:t>运维人员无法诊断与解决问题时，由二线技术人员通过远程方式提供运维服</w:t>
      </w:r>
      <w:r>
        <w:rPr>
          <w:rFonts w:ascii="calibri" w:hAnsi="calibri" w:cs="calibri" w:eastAsia="calibri"/>
          <w:sz w:val="21"/>
        </w:rPr>
        <w:t xml:space="preserve"> </w:t>
      </w:r>
      <w:r>
        <w:rPr>
          <w:rFonts w:ascii="宋体" w:hAnsi="宋体" w:cs="宋体" w:eastAsia="宋体"/>
          <w:sz w:val="24"/>
        </w:rPr>
        <w:t>务，远程运维人员应在</w:t>
      </w:r>
      <w:r>
        <w:rPr>
          <w:rFonts w:ascii="calibri" w:hAnsi="calibri" w:cs="calibri" w:eastAsia="calibri"/>
          <w:sz w:val="21"/>
        </w:rPr>
        <w:t xml:space="preserve"> </w:t>
      </w:r>
      <w:r>
        <w:rPr>
          <w:rFonts w:ascii="宋体" w:hAnsi="宋体" w:cs="宋体" w:eastAsia="宋体"/>
          <w:sz w:val="24"/>
        </w:rPr>
        <w:t>15</w:t>
      </w:r>
      <w:r>
        <w:rPr>
          <w:rFonts w:ascii="calibri" w:hAnsi="calibri" w:cs="calibri" w:eastAsia="calibri"/>
          <w:sz w:val="21"/>
        </w:rPr>
        <w:t xml:space="preserve"> </w:t>
      </w:r>
      <w:r>
        <w:rPr>
          <w:rFonts w:ascii="宋体" w:hAnsi="宋体" w:cs="宋体" w:eastAsia="宋体"/>
          <w:sz w:val="24"/>
        </w:rPr>
        <w:t>分钟内响应，解决客户的相关问题。</w:t>
      </w:r>
    </w:p>
    <w:p>
      <w:pPr>
        <w:pStyle w:val="null3"/>
        <w:ind w:firstLine="482"/>
        <w:jc w:val="left"/>
      </w:pPr>
      <w:r>
        <w:rPr>
          <w:rFonts w:ascii="宋体" w:hAnsi="宋体" w:cs="宋体" w:eastAsia="宋体"/>
          <w:sz w:val="24"/>
          <w:b/>
          <w:color w:val="000000"/>
        </w:rPr>
        <w:t>（项号</w:t>
      </w:r>
      <w:r>
        <w:rPr>
          <w:rFonts w:ascii="宋体" w:hAnsi="宋体" w:cs="宋体" w:eastAsia="宋体"/>
          <w:sz w:val="24"/>
          <w:b/>
          <w:color w:val="000000"/>
        </w:rPr>
        <w:t>11）</w:t>
      </w:r>
      <w:r>
        <w:rPr>
          <w:rFonts w:ascii="宋体" w:hAnsi="宋体" w:cs="宋体" w:eastAsia="宋体"/>
          <w:sz w:val="24"/>
        </w:rPr>
        <w:t>4.技术会商服务</w:t>
      </w:r>
    </w:p>
    <w:p>
      <w:pPr>
        <w:pStyle w:val="null3"/>
        <w:ind w:firstLine="472"/>
        <w:jc w:val="left"/>
      </w:pPr>
      <w:r>
        <w:rPr>
          <w:rFonts w:ascii="宋体" w:hAnsi="宋体" w:cs="宋体" w:eastAsia="宋体"/>
          <w:sz w:val="24"/>
        </w:rPr>
        <w:t>当以上方式都无法解决问题时，需组织相关技术专家进行技术会商，同时</w:t>
      </w:r>
      <w:r>
        <w:rPr>
          <w:rFonts w:ascii="宋体" w:hAnsi="宋体" w:cs="宋体" w:eastAsia="宋体"/>
          <w:sz w:val="24"/>
        </w:rPr>
        <w:t>记录现场</w:t>
      </w:r>
      <w:r>
        <w:rPr>
          <w:rFonts w:ascii="calibri" w:hAnsi="calibri" w:cs="calibri" w:eastAsia="calibri"/>
          <w:sz w:val="21"/>
        </w:rPr>
        <w:t xml:space="preserve"> </w:t>
      </w:r>
      <w:r>
        <w:rPr>
          <w:rFonts w:ascii="宋体" w:hAnsi="宋体" w:cs="宋体" w:eastAsia="宋体"/>
          <w:sz w:val="24"/>
        </w:rPr>
        <w:t>服务处理的结果。</w:t>
      </w:r>
    </w:p>
    <w:p>
      <w:pPr>
        <w:pStyle w:val="null3"/>
        <w:ind w:firstLine="482"/>
        <w:jc w:val="left"/>
      </w:pPr>
      <w:r>
        <w:rPr>
          <w:rFonts w:ascii="宋体" w:hAnsi="宋体" w:cs="宋体" w:eastAsia="宋体"/>
          <w:sz w:val="24"/>
          <w:b/>
          <w:color w:val="000000"/>
        </w:rPr>
        <w:t>（项号</w:t>
      </w:r>
      <w:r>
        <w:rPr>
          <w:rFonts w:ascii="宋体" w:hAnsi="宋体" w:cs="宋体" w:eastAsia="宋体"/>
          <w:sz w:val="24"/>
          <w:b/>
          <w:color w:val="000000"/>
        </w:rPr>
        <w:t>12）</w:t>
      </w:r>
      <w:r>
        <w:rPr>
          <w:rFonts w:ascii="宋体" w:hAnsi="宋体" w:cs="宋体" w:eastAsia="宋体"/>
          <w:sz w:val="24"/>
          <w:b/>
        </w:rPr>
        <w:t>1</w:t>
      </w:r>
      <w:r>
        <w:rPr>
          <w:rFonts w:ascii="宋体" w:hAnsi="宋体" w:cs="宋体" w:eastAsia="宋体"/>
          <w:sz w:val="24"/>
          <w:b/>
        </w:rPr>
        <w:t>.</w:t>
      </w:r>
      <w:r>
        <w:rPr>
          <w:rFonts w:ascii="宋体" w:hAnsi="宋体" w:cs="宋体" w:eastAsia="宋体"/>
          <w:sz w:val="24"/>
          <w:b/>
        </w:rPr>
        <w:t>5</w:t>
      </w:r>
      <w:r>
        <w:rPr>
          <w:rFonts w:ascii="宋体" w:hAnsi="宋体" w:cs="宋体" w:eastAsia="宋体"/>
          <w:sz w:val="24"/>
          <w:b/>
          <w:color w:val="000000"/>
        </w:rPr>
        <w:t>应急</w:t>
      </w:r>
      <w:r>
        <w:rPr>
          <w:rFonts w:ascii="宋体" w:hAnsi="宋体" w:cs="宋体" w:eastAsia="宋体"/>
          <w:sz w:val="24"/>
          <w:b/>
        </w:rPr>
        <w:t>响应</w:t>
      </w:r>
    </w:p>
    <w:p>
      <w:pPr>
        <w:pStyle w:val="null3"/>
        <w:ind w:firstLine="480"/>
        <w:jc w:val="left"/>
      </w:pPr>
      <w:r>
        <w:rPr>
          <w:rFonts w:ascii="宋体" w:hAnsi="宋体" w:cs="宋体" w:eastAsia="宋体"/>
          <w:sz w:val="24"/>
          <w:color w:val="000000"/>
        </w:rPr>
        <w:t>根据</w:t>
      </w:r>
      <w:r>
        <w:rPr>
          <w:rFonts w:ascii="宋体" w:hAnsi="宋体" w:cs="宋体" w:eastAsia="宋体"/>
          <w:sz w:val="24"/>
        </w:rPr>
        <w:t>紧急情况，分为</w:t>
      </w:r>
      <w:r>
        <w:rPr>
          <w:rFonts w:ascii="calibri" w:hAnsi="calibri" w:cs="calibri" w:eastAsia="calibri"/>
          <w:sz w:val="21"/>
        </w:rPr>
        <w:t xml:space="preserve"> </w:t>
      </w:r>
      <w:r>
        <w:rPr>
          <w:rFonts w:ascii="宋体" w:hAnsi="宋体" w:cs="宋体" w:eastAsia="宋体"/>
          <w:sz w:val="24"/>
        </w:rPr>
        <w:t>4</w:t>
      </w:r>
      <w:r>
        <w:rPr>
          <w:rFonts w:ascii="calibri" w:hAnsi="calibri" w:cs="calibri" w:eastAsia="calibri"/>
          <w:sz w:val="21"/>
        </w:rPr>
        <w:t xml:space="preserve"> </w:t>
      </w:r>
      <w:r>
        <w:rPr>
          <w:rFonts w:ascii="宋体" w:hAnsi="宋体" w:cs="宋体" w:eastAsia="宋体"/>
          <w:sz w:val="24"/>
        </w:rPr>
        <w:t>级应急响应。</w:t>
      </w:r>
    </w:p>
    <w:p>
      <w:pPr>
        <w:pStyle w:val="null3"/>
        <w:ind w:firstLine="480"/>
        <w:jc w:val="left"/>
      </w:pPr>
      <w:r>
        <w:rPr>
          <w:rFonts w:ascii="宋体" w:hAnsi="宋体" w:cs="宋体" w:eastAsia="宋体"/>
          <w:sz w:val="24"/>
          <w:color w:val="000000"/>
        </w:rPr>
        <w:t xml:space="preserve">IV </w:t>
      </w:r>
      <w:r>
        <w:rPr>
          <w:rFonts w:ascii="宋体" w:hAnsi="宋体" w:cs="宋体" w:eastAsia="宋体"/>
          <w:sz w:val="24"/>
        </w:rPr>
        <w:t>级情况。属于普通问题</w:t>
      </w:r>
      <w:r>
        <w:rPr>
          <w:rFonts w:ascii="宋体" w:hAnsi="宋体" w:cs="宋体" w:eastAsia="宋体"/>
          <w:sz w:val="24"/>
        </w:rPr>
        <w:t>,其具体现象为：系统技术功能、安装或配置咨询，或其</w:t>
      </w:r>
      <w:r>
        <w:rPr>
          <w:rFonts w:ascii="calibri" w:hAnsi="calibri" w:cs="calibri" w:eastAsia="calibri"/>
          <w:sz w:val="21"/>
        </w:rPr>
        <w:t xml:space="preserve"> </w:t>
      </w:r>
      <w:r>
        <w:rPr>
          <w:rFonts w:ascii="宋体" w:hAnsi="宋体" w:cs="宋体" w:eastAsia="宋体"/>
          <w:sz w:val="24"/>
        </w:rPr>
        <w:t>他显然不影响业务的故障。要求在</w:t>
      </w:r>
      <w:r>
        <w:rPr>
          <w:rFonts w:ascii="calibri" w:hAnsi="calibri" w:cs="calibri" w:eastAsia="calibri"/>
          <w:sz w:val="21"/>
        </w:rPr>
        <w:t xml:space="preserve"> </w:t>
      </w:r>
      <w:r>
        <w:rPr>
          <w:rFonts w:ascii="宋体" w:hAnsi="宋体" w:cs="宋体" w:eastAsia="宋体"/>
          <w:sz w:val="24"/>
        </w:rPr>
        <w:t>30</w:t>
      </w:r>
      <w:r>
        <w:rPr>
          <w:rFonts w:ascii="calibri" w:hAnsi="calibri" w:cs="calibri" w:eastAsia="calibri"/>
          <w:sz w:val="21"/>
        </w:rPr>
        <w:t xml:space="preserve"> </w:t>
      </w:r>
      <w:r>
        <w:rPr>
          <w:rFonts w:ascii="宋体" w:hAnsi="宋体" w:cs="宋体" w:eastAsia="宋体"/>
          <w:sz w:val="24"/>
        </w:rPr>
        <w:t>分钟响应，</w:t>
      </w:r>
      <w:r>
        <w:rPr>
          <w:rFonts w:ascii="宋体" w:hAnsi="宋体" w:cs="宋体" w:eastAsia="宋体"/>
          <w:sz w:val="24"/>
        </w:rPr>
        <w:t>2</w:t>
      </w:r>
      <w:r>
        <w:rPr>
          <w:rFonts w:ascii="calibri" w:hAnsi="calibri" w:cs="calibri" w:eastAsia="calibri"/>
          <w:sz w:val="21"/>
        </w:rPr>
        <w:t xml:space="preserve"> </w:t>
      </w:r>
      <w:r>
        <w:rPr>
          <w:rFonts w:ascii="宋体" w:hAnsi="宋体" w:cs="宋体" w:eastAsia="宋体"/>
          <w:sz w:val="24"/>
        </w:rPr>
        <w:t>小时内提交处理方案，</w:t>
      </w:r>
      <w:r>
        <w:rPr>
          <w:rFonts w:ascii="宋体" w:hAnsi="宋体" w:cs="宋体" w:eastAsia="宋体"/>
          <w:sz w:val="24"/>
        </w:rPr>
        <w:t>3</w:t>
      </w:r>
      <w:r>
        <w:rPr>
          <w:rFonts w:ascii="calibri" w:hAnsi="calibri" w:cs="calibri" w:eastAsia="calibri"/>
          <w:sz w:val="21"/>
        </w:rPr>
        <w:t xml:space="preserve"> </w:t>
      </w:r>
      <w:r>
        <w:rPr>
          <w:rFonts w:ascii="宋体" w:hAnsi="宋体" w:cs="宋体" w:eastAsia="宋体"/>
          <w:sz w:val="24"/>
        </w:rPr>
        <w:t>天内完成故</w:t>
      </w:r>
      <w:r>
        <w:rPr>
          <w:rFonts w:ascii="calibri" w:hAnsi="calibri" w:cs="calibri" w:eastAsia="calibri"/>
          <w:sz w:val="21"/>
        </w:rPr>
        <w:t xml:space="preserve"> </w:t>
      </w:r>
      <w:r>
        <w:rPr>
          <w:rFonts w:ascii="宋体" w:hAnsi="宋体" w:cs="宋体" w:eastAsia="宋体"/>
          <w:sz w:val="24"/>
        </w:rPr>
        <w:t>障处理。</w:t>
      </w:r>
    </w:p>
    <w:p>
      <w:pPr>
        <w:pStyle w:val="null3"/>
        <w:ind w:firstLine="480"/>
        <w:jc w:val="left"/>
      </w:pPr>
      <w:r>
        <w:rPr>
          <w:rFonts w:ascii="宋体" w:hAnsi="宋体" w:cs="宋体" w:eastAsia="宋体"/>
          <w:sz w:val="24"/>
          <w:color w:val="000000"/>
        </w:rPr>
        <w:t xml:space="preserve">III </w:t>
      </w:r>
      <w:r>
        <w:rPr>
          <w:rFonts w:ascii="宋体" w:hAnsi="宋体" w:cs="宋体" w:eastAsia="宋体"/>
          <w:sz w:val="24"/>
        </w:rPr>
        <w:t>级情况。属于较严重问题，其具体现象为：出现系统报错或警告，但业务系统</w:t>
      </w:r>
      <w:r>
        <w:rPr>
          <w:rFonts w:ascii="calibri" w:hAnsi="calibri" w:cs="calibri" w:eastAsia="calibri"/>
          <w:sz w:val="21"/>
        </w:rPr>
        <w:t xml:space="preserve"> </w:t>
      </w:r>
      <w:r>
        <w:rPr>
          <w:rFonts w:ascii="宋体" w:hAnsi="宋体" w:cs="宋体" w:eastAsia="宋体"/>
          <w:sz w:val="24"/>
        </w:rPr>
        <w:t>能继续运行且性能不受影响。要求在</w:t>
      </w:r>
      <w:r>
        <w:rPr>
          <w:rFonts w:ascii="calibri" w:hAnsi="calibri" w:cs="calibri" w:eastAsia="calibri"/>
          <w:sz w:val="21"/>
        </w:rPr>
        <w:t xml:space="preserve"> </w:t>
      </w:r>
      <w:r>
        <w:rPr>
          <w:rFonts w:ascii="宋体" w:hAnsi="宋体" w:cs="宋体" w:eastAsia="宋体"/>
          <w:sz w:val="24"/>
        </w:rPr>
        <w:t>30</w:t>
      </w:r>
      <w:r>
        <w:rPr>
          <w:rFonts w:ascii="calibri" w:hAnsi="calibri" w:cs="calibri" w:eastAsia="calibri"/>
          <w:sz w:val="21"/>
        </w:rPr>
        <w:t xml:space="preserve"> </w:t>
      </w:r>
      <w:r>
        <w:rPr>
          <w:rFonts w:ascii="宋体" w:hAnsi="宋体" w:cs="宋体" w:eastAsia="宋体"/>
          <w:sz w:val="24"/>
        </w:rPr>
        <w:t>分钟响应，</w:t>
      </w:r>
      <w:r>
        <w:rPr>
          <w:rFonts w:ascii="宋体" w:hAnsi="宋体" w:cs="宋体" w:eastAsia="宋体"/>
          <w:sz w:val="24"/>
        </w:rPr>
        <w:t>48</w:t>
      </w:r>
      <w:r>
        <w:rPr>
          <w:rFonts w:ascii="calibri" w:hAnsi="calibri" w:cs="calibri" w:eastAsia="calibri"/>
          <w:sz w:val="21"/>
        </w:rPr>
        <w:t xml:space="preserve"> </w:t>
      </w:r>
      <w:r>
        <w:rPr>
          <w:rFonts w:ascii="宋体" w:hAnsi="宋体" w:cs="宋体" w:eastAsia="宋体"/>
          <w:sz w:val="24"/>
        </w:rPr>
        <w:t>小时内完成故障处理。</w:t>
      </w:r>
    </w:p>
    <w:p>
      <w:pPr>
        <w:pStyle w:val="null3"/>
        <w:spacing w:before="45"/>
        <w:ind w:left="15" w:firstLine="491"/>
        <w:jc w:val="both"/>
      </w:pPr>
      <w:r>
        <w:rPr>
          <w:rFonts w:ascii="宋体" w:hAnsi="宋体" w:cs="宋体" w:eastAsia="宋体"/>
          <w:sz w:val="24"/>
        </w:rPr>
        <w:t>II</w:t>
      </w:r>
      <w:r>
        <w:rPr>
          <w:rFonts w:ascii="calibri" w:hAnsi="calibri" w:cs="calibri" w:eastAsia="calibri"/>
          <w:sz w:val="21"/>
        </w:rPr>
        <w:t xml:space="preserve"> </w:t>
      </w:r>
      <w:r>
        <w:rPr>
          <w:rFonts w:ascii="宋体" w:hAnsi="宋体" w:cs="宋体" w:eastAsia="宋体"/>
          <w:sz w:val="24"/>
        </w:rPr>
        <w:t>级情况。属于严重问题，其具体现象为：出现部分业务功能失效、系统性能下降</w:t>
      </w:r>
      <w:r>
        <w:rPr>
          <w:rFonts w:ascii="calibri" w:hAnsi="calibri" w:cs="calibri" w:eastAsia="calibri"/>
          <w:sz w:val="21"/>
        </w:rPr>
        <w:t xml:space="preserve"> </w:t>
      </w:r>
      <w:r>
        <w:rPr>
          <w:rFonts w:ascii="宋体" w:hAnsi="宋体" w:cs="宋体" w:eastAsia="宋体"/>
          <w:sz w:val="24"/>
        </w:rPr>
        <w:t>等问题，但能正常运行，不影响正常业务运作。要求在</w:t>
      </w:r>
      <w:r>
        <w:rPr>
          <w:rFonts w:ascii="calibri" w:hAnsi="calibri" w:cs="calibri" w:eastAsia="calibri"/>
          <w:sz w:val="21"/>
        </w:rPr>
        <w:t xml:space="preserve"> </w:t>
      </w:r>
      <w:r>
        <w:rPr>
          <w:rFonts w:ascii="宋体" w:hAnsi="宋体" w:cs="宋体" w:eastAsia="宋体"/>
          <w:sz w:val="24"/>
        </w:rPr>
        <w:t>30</w:t>
      </w:r>
      <w:r>
        <w:rPr>
          <w:rFonts w:ascii="calibri" w:hAnsi="calibri" w:cs="calibri" w:eastAsia="calibri"/>
          <w:sz w:val="21"/>
        </w:rPr>
        <w:t xml:space="preserve"> </w:t>
      </w:r>
      <w:r>
        <w:rPr>
          <w:rFonts w:ascii="宋体" w:hAnsi="宋体" w:cs="宋体" w:eastAsia="宋体"/>
          <w:sz w:val="24"/>
        </w:rPr>
        <w:t>分钟响应，</w:t>
      </w:r>
      <w:r>
        <w:rPr>
          <w:rFonts w:ascii="宋体" w:hAnsi="宋体" w:cs="宋体" w:eastAsia="宋体"/>
          <w:sz w:val="24"/>
        </w:rPr>
        <w:t>24</w:t>
      </w:r>
      <w:r>
        <w:rPr>
          <w:rFonts w:ascii="calibri" w:hAnsi="calibri" w:cs="calibri" w:eastAsia="calibri"/>
          <w:sz w:val="21"/>
        </w:rPr>
        <w:t xml:space="preserve"> </w:t>
      </w:r>
      <w:r>
        <w:rPr>
          <w:rFonts w:ascii="宋体" w:hAnsi="宋体" w:cs="宋体" w:eastAsia="宋体"/>
          <w:sz w:val="24"/>
        </w:rPr>
        <w:t>小时内完成故</w:t>
      </w:r>
      <w:r>
        <w:rPr>
          <w:rFonts w:ascii="calibri" w:hAnsi="calibri" w:cs="calibri" w:eastAsia="calibri"/>
          <w:sz w:val="21"/>
        </w:rPr>
        <w:t xml:space="preserve"> </w:t>
      </w:r>
      <w:r>
        <w:rPr>
          <w:rFonts w:ascii="宋体" w:hAnsi="宋体" w:cs="宋体" w:eastAsia="宋体"/>
          <w:sz w:val="24"/>
        </w:rPr>
        <w:t>障处理。</w:t>
      </w:r>
    </w:p>
    <w:p>
      <w:pPr>
        <w:pStyle w:val="null3"/>
        <w:ind w:firstLine="476"/>
        <w:jc w:val="left"/>
      </w:pPr>
      <w:r>
        <w:rPr>
          <w:rFonts w:ascii="宋体" w:hAnsi="宋体" w:cs="宋体" w:eastAsia="宋体"/>
          <w:sz w:val="24"/>
        </w:rPr>
        <w:t>I</w:t>
      </w:r>
      <w:r>
        <w:rPr>
          <w:rFonts w:ascii="calibri" w:hAnsi="calibri" w:cs="calibri" w:eastAsia="calibri"/>
          <w:sz w:val="21"/>
        </w:rPr>
        <w:t xml:space="preserve"> </w:t>
      </w:r>
      <w:r>
        <w:rPr>
          <w:rFonts w:ascii="宋体" w:hAnsi="宋体" w:cs="宋体" w:eastAsia="宋体"/>
          <w:sz w:val="24"/>
        </w:rPr>
        <w:t>级情况。属于紧急问题；其具体现象为：系统崩溃导致业务停止、数据丢失。要</w:t>
      </w:r>
      <w:r>
        <w:rPr>
          <w:rFonts w:ascii="calibri" w:hAnsi="calibri" w:cs="calibri" w:eastAsia="calibri"/>
          <w:sz w:val="21"/>
        </w:rPr>
        <w:t xml:space="preserve"> </w:t>
      </w:r>
      <w:r>
        <w:rPr>
          <w:rFonts w:ascii="宋体" w:hAnsi="宋体" w:cs="宋体" w:eastAsia="宋体"/>
          <w:sz w:val="24"/>
        </w:rPr>
        <w:t>求在</w:t>
      </w:r>
      <w:r>
        <w:rPr>
          <w:rFonts w:ascii="calibri" w:hAnsi="calibri" w:cs="calibri" w:eastAsia="calibri"/>
          <w:sz w:val="21"/>
        </w:rPr>
        <w:t xml:space="preserve"> </w:t>
      </w:r>
      <w:r>
        <w:rPr>
          <w:rFonts w:ascii="宋体" w:hAnsi="宋体" w:cs="宋体" w:eastAsia="宋体"/>
          <w:sz w:val="24"/>
        </w:rPr>
        <w:t>30</w:t>
      </w:r>
      <w:r>
        <w:rPr>
          <w:rFonts w:ascii="calibri" w:hAnsi="calibri" w:cs="calibri" w:eastAsia="calibri"/>
          <w:sz w:val="21"/>
        </w:rPr>
        <w:t xml:space="preserve"> </w:t>
      </w:r>
      <w:r>
        <w:rPr>
          <w:rFonts w:ascii="宋体" w:hAnsi="宋体" w:cs="宋体" w:eastAsia="宋体"/>
          <w:sz w:val="24"/>
        </w:rPr>
        <w:t>分钟响应，</w:t>
      </w:r>
      <w:r>
        <w:rPr>
          <w:rFonts w:ascii="宋体" w:hAnsi="宋体" w:cs="宋体" w:eastAsia="宋体"/>
          <w:sz w:val="24"/>
        </w:rPr>
        <w:t>12</w:t>
      </w:r>
      <w:r>
        <w:rPr>
          <w:rFonts w:ascii="calibri" w:hAnsi="calibri" w:cs="calibri" w:eastAsia="calibri"/>
          <w:sz w:val="21"/>
        </w:rPr>
        <w:t xml:space="preserve"> </w:t>
      </w:r>
      <w:r>
        <w:rPr>
          <w:rFonts w:ascii="宋体" w:hAnsi="宋体" w:cs="宋体" w:eastAsia="宋体"/>
          <w:sz w:val="24"/>
        </w:rPr>
        <w:t>小时内完成故障处理。</w:t>
      </w:r>
    </w:p>
    <w:p>
      <w:pPr>
        <w:pStyle w:val="null3"/>
        <w:ind w:firstLine="476"/>
        <w:jc w:val="left"/>
      </w:pPr>
      <w:r>
        <w:rPr>
          <w:rFonts w:ascii="宋体" w:hAnsi="宋体" w:cs="宋体" w:eastAsia="宋体"/>
          <w:sz w:val="24"/>
        </w:rPr>
        <w:t>对于</w:t>
      </w:r>
      <w:r>
        <w:rPr>
          <w:rFonts w:ascii="宋体" w:hAnsi="宋体" w:cs="宋体" w:eastAsia="宋体"/>
          <w:sz w:val="24"/>
        </w:rPr>
        <w:t>“系统瘫痪，业务系统不能运转</w:t>
      </w:r>
      <w:r>
        <w:rPr>
          <w:rFonts w:ascii="calibri" w:hAnsi="calibri" w:cs="calibri" w:eastAsia="calibri"/>
          <w:sz w:val="21"/>
        </w:rPr>
        <w:t xml:space="preserve"> </w:t>
      </w:r>
      <w:r>
        <w:rPr>
          <w:rFonts w:ascii="宋体" w:hAnsi="宋体" w:cs="宋体" w:eastAsia="宋体"/>
          <w:sz w:val="24"/>
        </w:rPr>
        <w:t>”的故障级别，如果不能于</w:t>
      </w:r>
      <w:r>
        <w:rPr>
          <w:rFonts w:ascii="calibri" w:hAnsi="calibri" w:cs="calibri" w:eastAsia="calibri"/>
          <w:sz w:val="21"/>
        </w:rPr>
        <w:t xml:space="preserve"> </w:t>
      </w:r>
      <w:r>
        <w:rPr>
          <w:rFonts w:ascii="宋体" w:hAnsi="宋体" w:cs="宋体" w:eastAsia="宋体"/>
          <w:sz w:val="24"/>
        </w:rPr>
        <w:t>12</w:t>
      </w:r>
      <w:r>
        <w:rPr>
          <w:rFonts w:ascii="calibri" w:hAnsi="calibri" w:cs="calibri" w:eastAsia="calibri"/>
          <w:sz w:val="21"/>
        </w:rPr>
        <w:t xml:space="preserve"> </w:t>
      </w:r>
      <w:r>
        <w:rPr>
          <w:rFonts w:ascii="宋体" w:hAnsi="宋体" w:cs="宋体" w:eastAsia="宋体"/>
          <w:sz w:val="24"/>
        </w:rPr>
        <w:t>小时内解决故</w:t>
      </w:r>
      <w:r>
        <w:rPr>
          <w:rFonts w:ascii="宋体" w:hAnsi="宋体" w:cs="宋体" w:eastAsia="宋体"/>
          <w:sz w:val="24"/>
        </w:rPr>
        <w:t>障，应在</w:t>
      </w:r>
      <w:r>
        <w:rPr>
          <w:rFonts w:ascii="calibri" w:hAnsi="calibri" w:cs="calibri" w:eastAsia="calibri"/>
          <w:sz w:val="21"/>
        </w:rPr>
        <w:t xml:space="preserve"> </w:t>
      </w:r>
      <w:r>
        <w:rPr>
          <w:rFonts w:ascii="宋体" w:hAnsi="宋体" w:cs="宋体" w:eastAsia="宋体"/>
          <w:sz w:val="24"/>
        </w:rPr>
        <w:t>16</w:t>
      </w:r>
      <w:r>
        <w:rPr>
          <w:rFonts w:ascii="calibri" w:hAnsi="calibri" w:cs="calibri" w:eastAsia="calibri"/>
          <w:sz w:val="21"/>
        </w:rPr>
        <w:t xml:space="preserve"> </w:t>
      </w:r>
      <w:r>
        <w:rPr>
          <w:rFonts w:ascii="宋体" w:hAnsi="宋体" w:cs="宋体" w:eastAsia="宋体"/>
          <w:sz w:val="24"/>
        </w:rPr>
        <w:t>小时内提出应急方案，确保业务系统的运行。故障解决后</w:t>
      </w:r>
      <w:r>
        <w:rPr>
          <w:rFonts w:ascii="calibri" w:hAnsi="calibri" w:cs="calibri" w:eastAsia="calibri"/>
          <w:sz w:val="21"/>
        </w:rPr>
        <w:t xml:space="preserve"> </w:t>
      </w:r>
      <w:r>
        <w:rPr>
          <w:rFonts w:ascii="宋体" w:hAnsi="宋体" w:cs="宋体" w:eastAsia="宋体"/>
          <w:sz w:val="24"/>
        </w:rPr>
        <w:t>24</w:t>
      </w:r>
      <w:r>
        <w:rPr>
          <w:rFonts w:ascii="calibri" w:hAnsi="calibri" w:cs="calibri" w:eastAsia="calibri"/>
          <w:sz w:val="21"/>
        </w:rPr>
        <w:t xml:space="preserve"> </w:t>
      </w:r>
      <w:r>
        <w:rPr>
          <w:rFonts w:ascii="宋体" w:hAnsi="宋体" w:cs="宋体" w:eastAsia="宋体"/>
          <w:sz w:val="24"/>
        </w:rPr>
        <w:t>小时内，提交</w:t>
      </w:r>
      <w:r>
        <w:rPr>
          <w:rFonts w:ascii="calibri" w:hAnsi="calibri" w:cs="calibri" w:eastAsia="calibri"/>
          <w:sz w:val="21"/>
        </w:rPr>
        <w:t xml:space="preserve"> </w:t>
      </w:r>
      <w:r>
        <w:rPr>
          <w:rFonts w:ascii="宋体" w:hAnsi="宋体" w:cs="宋体" w:eastAsia="宋体"/>
          <w:sz w:val="24"/>
        </w:rPr>
        <w:t>故障处理报告，说明故障种类、故障原因、故障解决中</w:t>
      </w:r>
      <w:r>
        <w:rPr>
          <w:rFonts w:ascii="宋体" w:hAnsi="宋体" w:cs="宋体" w:eastAsia="宋体"/>
          <w:sz w:val="24"/>
        </w:rPr>
        <w:t>使用的方法及故障损失等情况。</w:t>
      </w:r>
      <w:r>
        <w:rPr>
          <w:rFonts w:ascii="calibri" w:hAnsi="calibri" w:cs="calibri" w:eastAsia="calibri"/>
          <w:sz w:val="21"/>
        </w:rPr>
        <w:t xml:space="preserve"> </w:t>
      </w:r>
      <w:r>
        <w:rPr>
          <w:rFonts w:ascii="宋体" w:hAnsi="宋体" w:cs="宋体" w:eastAsia="宋体"/>
          <w:sz w:val="24"/>
        </w:rPr>
        <w:t>如果确实无法按时解决，应提供替代性解决办法，并在与中心协商沟通的基础上确定完</w:t>
      </w:r>
      <w:r>
        <w:rPr>
          <w:rFonts w:ascii="calibri" w:hAnsi="calibri" w:cs="calibri" w:eastAsia="calibri"/>
          <w:sz w:val="21"/>
        </w:rPr>
        <w:t xml:space="preserve"> </w:t>
      </w:r>
      <w:r>
        <w:rPr>
          <w:rFonts w:ascii="宋体" w:hAnsi="宋体" w:cs="宋体" w:eastAsia="宋体"/>
          <w:sz w:val="24"/>
        </w:rPr>
        <w:t>成时限。技术支持人员在解决故障时，应最大限度保护</w:t>
      </w:r>
      <w:r>
        <w:rPr>
          <w:rFonts w:ascii="宋体" w:hAnsi="宋体" w:cs="宋体" w:eastAsia="宋体"/>
          <w:sz w:val="24"/>
        </w:rPr>
        <w:t>好数据，做好故障恢复的文档，</w:t>
      </w:r>
      <w:r>
        <w:rPr>
          <w:rFonts w:ascii="calibri" w:hAnsi="calibri" w:cs="calibri" w:eastAsia="calibri"/>
          <w:sz w:val="21"/>
        </w:rPr>
        <w:t xml:space="preserve"> </w:t>
      </w:r>
      <w:r>
        <w:rPr>
          <w:rFonts w:ascii="宋体" w:hAnsi="宋体" w:cs="宋体" w:eastAsia="宋体"/>
          <w:sz w:val="24"/>
        </w:rPr>
        <w:t>保证恢复到故障点前的业务状态。</w:t>
      </w:r>
    </w:p>
    <w:p>
      <w:pPr>
        <w:pStyle w:val="null3"/>
        <w:ind w:firstLine="470"/>
        <w:jc w:val="left"/>
      </w:pPr>
      <w:r>
        <w:rPr>
          <w:rFonts w:ascii="宋体" w:hAnsi="宋体" w:cs="宋体" w:eastAsia="宋体"/>
          <w:sz w:val="24"/>
          <w:b/>
        </w:rPr>
        <w:t>2、</w:t>
      </w:r>
      <w:r>
        <w:rPr>
          <w:rFonts w:ascii="宋体" w:hAnsi="宋体" w:cs="宋体" w:eastAsia="宋体"/>
          <w:sz w:val="24"/>
          <w:b/>
        </w:rPr>
        <w:t>现场技术维护实施要求</w:t>
      </w:r>
    </w:p>
    <w:p>
      <w:pPr>
        <w:pStyle w:val="null3"/>
        <w:ind w:firstLine="482"/>
        <w:jc w:val="left"/>
      </w:pPr>
      <w:r>
        <w:rPr>
          <w:rFonts w:ascii="宋体" w:hAnsi="宋体" w:cs="宋体" w:eastAsia="宋体"/>
          <w:sz w:val="24"/>
          <w:b/>
          <w:color w:val="000000"/>
        </w:rPr>
        <w:t>（项号</w:t>
      </w:r>
      <w:r>
        <w:rPr>
          <w:rFonts w:ascii="宋体" w:hAnsi="宋体" w:cs="宋体" w:eastAsia="宋体"/>
          <w:sz w:val="24"/>
          <w:b/>
          <w:color w:val="000000"/>
        </w:rPr>
        <w:t>13）</w:t>
      </w:r>
      <w:r>
        <w:rPr>
          <w:rFonts w:ascii="宋体" w:hAnsi="宋体" w:cs="宋体" w:eastAsia="宋体"/>
          <w:sz w:val="24"/>
        </w:rPr>
        <w:t>2.1</w:t>
      </w:r>
      <w:r>
        <w:rPr>
          <w:rFonts w:ascii="宋体" w:hAnsi="宋体" w:cs="宋体" w:eastAsia="宋体"/>
          <w:sz w:val="24"/>
        </w:rPr>
        <w:t>根据项目业务管理及运行维护要求，运维服务方需</w:t>
      </w:r>
      <w:r>
        <w:rPr>
          <w:rFonts w:ascii="宋体" w:hAnsi="宋体" w:cs="宋体" w:eastAsia="宋体"/>
          <w:sz w:val="24"/>
        </w:rPr>
        <w:t>要派遣至少</w:t>
      </w:r>
      <w:r>
        <w:rPr>
          <w:rFonts w:ascii="calibri" w:hAnsi="calibri" w:cs="calibri" w:eastAsia="calibri"/>
          <w:sz w:val="21"/>
        </w:rPr>
        <w:t xml:space="preserve"> </w:t>
      </w:r>
      <w:r>
        <w:rPr>
          <w:rFonts w:ascii="宋体" w:hAnsi="宋体" w:cs="宋体" w:eastAsia="宋体"/>
          <w:sz w:val="24"/>
        </w:rPr>
        <w:t>2</w:t>
      </w:r>
      <w:r>
        <w:rPr>
          <w:rFonts w:ascii="calibri" w:hAnsi="calibri" w:cs="calibri" w:eastAsia="calibri"/>
          <w:sz w:val="21"/>
        </w:rPr>
        <w:t xml:space="preserve"> </w:t>
      </w:r>
      <w:r>
        <w:rPr>
          <w:rFonts w:ascii="宋体" w:hAnsi="宋体" w:cs="宋体" w:eastAsia="宋体"/>
          <w:sz w:val="24"/>
        </w:rPr>
        <w:t>名具有独立工作能</w:t>
      </w:r>
      <w:r>
        <w:rPr>
          <w:rFonts w:ascii="calibri" w:hAnsi="calibri" w:cs="calibri" w:eastAsia="calibri"/>
          <w:sz w:val="21"/>
        </w:rPr>
        <w:t xml:space="preserve"> </w:t>
      </w:r>
      <w:r>
        <w:rPr>
          <w:rFonts w:ascii="宋体" w:hAnsi="宋体" w:cs="宋体" w:eastAsia="宋体"/>
          <w:sz w:val="24"/>
        </w:rPr>
        <w:t>力和经验的人员（拥有计算机或电子工程相关专业中级以上工程师证书）长驻现场，定</w:t>
      </w:r>
      <w:r>
        <w:rPr>
          <w:rFonts w:ascii="宋体" w:hAnsi="宋体" w:cs="宋体" w:eastAsia="宋体"/>
          <w:sz w:val="24"/>
        </w:rPr>
        <w:t>期对系统的软、硬件进行预防性巡检维护，对故障及时进行处置，确保系统高效、安全、</w:t>
      </w:r>
      <w:r>
        <w:rPr>
          <w:rFonts w:ascii="宋体" w:hAnsi="宋体" w:cs="宋体" w:eastAsia="宋体"/>
          <w:sz w:val="24"/>
        </w:rPr>
        <w:t>稳定的运行，同时为道路运输企业或卫星定位运营服务商提供业务咨询、技术对接和</w:t>
      </w:r>
      <w:r>
        <w:rPr>
          <w:rFonts w:ascii="宋体" w:hAnsi="宋体" w:cs="宋体" w:eastAsia="宋体"/>
          <w:sz w:val="24"/>
        </w:rPr>
        <w:t>据联调等技术支持服务。</w:t>
      </w:r>
    </w:p>
    <w:p>
      <w:pPr>
        <w:pStyle w:val="null3"/>
        <w:ind w:firstLine="482"/>
        <w:jc w:val="left"/>
      </w:pPr>
      <w:r>
        <w:rPr>
          <w:rFonts w:ascii="宋体" w:hAnsi="宋体" w:cs="宋体" w:eastAsia="宋体"/>
          <w:sz w:val="24"/>
          <w:b/>
          <w:color w:val="000000"/>
        </w:rPr>
        <w:t>（项号</w:t>
      </w:r>
      <w:r>
        <w:rPr>
          <w:rFonts w:ascii="宋体" w:hAnsi="宋体" w:cs="宋体" w:eastAsia="宋体"/>
          <w:sz w:val="24"/>
          <w:b/>
          <w:color w:val="000000"/>
        </w:rPr>
        <w:t>14）</w:t>
      </w:r>
      <w:r>
        <w:rPr>
          <w:rFonts w:ascii="宋体" w:hAnsi="宋体" w:cs="宋体" w:eastAsia="宋体"/>
          <w:sz w:val="24"/>
        </w:rPr>
        <w:t>2.2</w:t>
      </w:r>
      <w:r>
        <w:rPr>
          <w:rFonts w:ascii="宋体" w:hAnsi="宋体" w:cs="宋体" w:eastAsia="宋体"/>
          <w:sz w:val="24"/>
        </w:rPr>
        <w:t>驻点工程师的职责要求：</w:t>
      </w:r>
    </w:p>
    <w:p>
      <w:pPr>
        <w:pStyle w:val="null3"/>
        <w:ind w:left="15" w:firstLine="479"/>
        <w:jc w:val="both"/>
      </w:pPr>
      <w:r>
        <w:rPr>
          <w:rFonts w:ascii="宋体" w:hAnsi="宋体" w:cs="宋体" w:eastAsia="宋体"/>
          <w:sz w:val="24"/>
        </w:rPr>
        <w:t>（</w:t>
      </w:r>
      <w:r>
        <w:rPr>
          <w:rFonts w:ascii="宋体" w:hAnsi="宋体" w:cs="宋体" w:eastAsia="宋体"/>
          <w:sz w:val="24"/>
        </w:rPr>
        <w:t>1）负责定期对项目的软、硬件进行预防性巡检维护，通过检查、检测，发现故</w:t>
      </w:r>
      <w:r>
        <w:rPr>
          <w:rFonts w:ascii="calibri" w:hAnsi="calibri" w:cs="calibri" w:eastAsia="calibri"/>
          <w:sz w:val="21"/>
        </w:rPr>
        <w:t xml:space="preserve"> </w:t>
      </w:r>
      <w:r>
        <w:rPr>
          <w:rFonts w:ascii="宋体" w:hAnsi="宋体" w:cs="宋体" w:eastAsia="宋体"/>
          <w:sz w:val="24"/>
        </w:rPr>
        <w:t>障征兆或防止故障发生。（包括对损坏的硬件设备及其配件进行修复、购</w:t>
      </w:r>
      <w:r>
        <w:rPr>
          <w:rFonts w:ascii="宋体" w:hAnsi="宋体" w:cs="宋体" w:eastAsia="宋体"/>
          <w:sz w:val="24"/>
        </w:rPr>
        <w:t>置、更换等）</w:t>
      </w:r>
    </w:p>
    <w:p>
      <w:pPr>
        <w:pStyle w:val="null3"/>
        <w:ind w:left="15" w:firstLine="479"/>
        <w:jc w:val="both"/>
      </w:pPr>
      <w:r>
        <w:rPr>
          <w:rFonts w:ascii="宋体" w:hAnsi="宋体" w:cs="宋体" w:eastAsia="宋体"/>
          <w:sz w:val="24"/>
        </w:rPr>
        <w:t>（</w:t>
      </w:r>
      <w:r>
        <w:rPr>
          <w:rFonts w:ascii="宋体" w:hAnsi="宋体" w:cs="宋体" w:eastAsia="宋体"/>
          <w:sz w:val="24"/>
        </w:rPr>
        <w:t>2）负责响应及解决用户的技术要求、疑问以及系统使用过程中遇到的各种问题。</w:t>
      </w:r>
    </w:p>
    <w:p>
      <w:pPr>
        <w:pStyle w:val="null3"/>
        <w:ind w:left="15" w:firstLine="479"/>
        <w:jc w:val="both"/>
      </w:pPr>
      <w:r>
        <w:rPr>
          <w:rFonts w:ascii="宋体" w:hAnsi="宋体" w:cs="宋体" w:eastAsia="宋体"/>
          <w:sz w:val="24"/>
        </w:rPr>
        <w:t>（</w:t>
      </w:r>
      <w:r>
        <w:rPr>
          <w:rFonts w:ascii="宋体" w:hAnsi="宋体" w:cs="宋体" w:eastAsia="宋体"/>
          <w:sz w:val="24"/>
        </w:rPr>
        <w:t>3）负责相关故障、疑难问题排查处理，编制汇总故障、问题，定期提交汇总报</w:t>
      </w:r>
      <w:r>
        <w:rPr>
          <w:rFonts w:ascii="calibri" w:hAnsi="calibri" w:cs="calibri" w:eastAsia="calibri"/>
          <w:sz w:val="21"/>
        </w:rPr>
        <w:t xml:space="preserve"> </w:t>
      </w:r>
      <w:r>
        <w:rPr>
          <w:rFonts w:ascii="宋体" w:hAnsi="宋体" w:cs="宋体" w:eastAsia="宋体"/>
          <w:sz w:val="24"/>
        </w:rPr>
        <w:t>告。</w:t>
      </w:r>
    </w:p>
    <w:p>
      <w:pPr>
        <w:pStyle w:val="null3"/>
        <w:ind w:left="15" w:firstLine="479"/>
        <w:jc w:val="both"/>
      </w:pPr>
      <w:r>
        <w:rPr>
          <w:rFonts w:ascii="宋体" w:hAnsi="宋体" w:cs="宋体" w:eastAsia="宋体"/>
          <w:sz w:val="24"/>
        </w:rPr>
        <w:t>（</w:t>
      </w:r>
      <w:r>
        <w:rPr>
          <w:rFonts w:ascii="宋体" w:hAnsi="宋体" w:cs="宋体" w:eastAsia="宋体"/>
          <w:sz w:val="24"/>
        </w:rPr>
        <w:t>4）负责网络监控和应急反应，以确保网络系</w:t>
      </w:r>
      <w:r>
        <w:rPr>
          <w:rFonts w:ascii="宋体" w:hAnsi="宋体" w:cs="宋体" w:eastAsia="宋体"/>
          <w:sz w:val="24"/>
        </w:rPr>
        <w:t>统有</w:t>
      </w:r>
      <w:r>
        <w:rPr>
          <w:rFonts w:ascii="calibri" w:hAnsi="calibri" w:cs="calibri" w:eastAsia="calibri"/>
          <w:sz w:val="21"/>
        </w:rPr>
        <w:t xml:space="preserve"> </w:t>
      </w:r>
      <w:r>
        <w:rPr>
          <w:rFonts w:ascii="宋体" w:hAnsi="宋体" w:cs="宋体" w:eastAsia="宋体"/>
          <w:sz w:val="24"/>
        </w:rPr>
        <w:t>7*24</w:t>
      </w:r>
      <w:r>
        <w:rPr>
          <w:rFonts w:ascii="calibri" w:hAnsi="calibri" w:cs="calibri" w:eastAsia="calibri"/>
          <w:sz w:val="21"/>
        </w:rPr>
        <w:t xml:space="preserve"> </w:t>
      </w:r>
      <w:r>
        <w:rPr>
          <w:rFonts w:ascii="宋体" w:hAnsi="宋体" w:cs="宋体" w:eastAsia="宋体"/>
          <w:sz w:val="24"/>
        </w:rPr>
        <w:t>小时的持续运作能力。</w:t>
      </w:r>
    </w:p>
    <w:p>
      <w:pPr>
        <w:pStyle w:val="null3"/>
        <w:ind w:left="15" w:firstLine="479"/>
        <w:jc w:val="both"/>
      </w:pPr>
      <w:r>
        <w:rPr>
          <w:rFonts w:ascii="宋体" w:hAnsi="宋体" w:cs="宋体" w:eastAsia="宋体"/>
          <w:sz w:val="24"/>
        </w:rPr>
        <w:t>（</w:t>
      </w:r>
      <w:r>
        <w:rPr>
          <w:rFonts w:ascii="宋体" w:hAnsi="宋体" w:cs="宋体" w:eastAsia="宋体"/>
          <w:sz w:val="24"/>
        </w:rPr>
        <w:t>5）负责日常系统维护，及监控，提供</w:t>
      </w:r>
      <w:r>
        <w:rPr>
          <w:rFonts w:ascii="calibri" w:hAnsi="calibri" w:cs="calibri" w:eastAsia="calibri"/>
          <w:sz w:val="21"/>
        </w:rPr>
        <w:t xml:space="preserve"> </w:t>
      </w:r>
      <w:r>
        <w:rPr>
          <w:rFonts w:ascii="宋体" w:hAnsi="宋体" w:cs="宋体" w:eastAsia="宋体"/>
          <w:sz w:val="24"/>
        </w:rPr>
        <w:t>IT</w:t>
      </w:r>
      <w:r>
        <w:rPr>
          <w:rFonts w:ascii="calibri" w:hAnsi="calibri" w:cs="calibri" w:eastAsia="calibri"/>
          <w:sz w:val="21"/>
        </w:rPr>
        <w:t xml:space="preserve"> </w:t>
      </w:r>
      <w:r>
        <w:rPr>
          <w:rFonts w:ascii="宋体" w:hAnsi="宋体" w:cs="宋体" w:eastAsia="宋体"/>
          <w:sz w:val="24"/>
        </w:rPr>
        <w:t>软硬件方面的服务和支持，保证系统的</w:t>
      </w:r>
      <w:r>
        <w:rPr>
          <w:rFonts w:ascii="calibri" w:hAnsi="calibri" w:cs="calibri" w:eastAsia="calibri"/>
          <w:sz w:val="21"/>
        </w:rPr>
        <w:t xml:space="preserve"> </w:t>
      </w:r>
      <w:r>
        <w:rPr>
          <w:rFonts w:ascii="宋体" w:hAnsi="宋体" w:cs="宋体" w:eastAsia="宋体"/>
          <w:sz w:val="24"/>
        </w:rPr>
        <w:t>稳定。</w:t>
      </w:r>
    </w:p>
    <w:p>
      <w:pPr>
        <w:pStyle w:val="null3"/>
        <w:ind w:left="15" w:firstLine="479"/>
        <w:jc w:val="both"/>
      </w:pPr>
      <w:r>
        <w:rPr>
          <w:rFonts w:ascii="宋体" w:hAnsi="宋体" w:cs="宋体" w:eastAsia="宋体"/>
          <w:sz w:val="24"/>
        </w:rPr>
        <w:t>（</w:t>
      </w:r>
      <w:r>
        <w:rPr>
          <w:rFonts w:ascii="宋体" w:hAnsi="宋体" w:cs="宋体" w:eastAsia="宋体"/>
          <w:sz w:val="24"/>
        </w:rPr>
        <w:t>6）负责服务过程中问题现象和处理方案的收集撰写，形成运维记录单。</w:t>
      </w:r>
    </w:p>
    <w:p>
      <w:pPr>
        <w:pStyle w:val="null3"/>
        <w:ind w:left="15" w:firstLine="479"/>
        <w:jc w:val="both"/>
      </w:pPr>
      <w:r>
        <w:rPr>
          <w:rFonts w:ascii="宋体" w:hAnsi="宋体" w:cs="宋体" w:eastAsia="宋体"/>
          <w:sz w:val="24"/>
        </w:rPr>
        <w:t>（</w:t>
      </w:r>
      <w:r>
        <w:rPr>
          <w:rFonts w:ascii="宋体" w:hAnsi="宋体" w:cs="宋体" w:eastAsia="宋体"/>
          <w:sz w:val="24"/>
        </w:rPr>
        <w:t>7）及时反馈技术处理过程中的异常情况，及时向项目经理等相关人员报警；同</w:t>
      </w:r>
      <w:r>
        <w:rPr>
          <w:rFonts w:ascii="宋体" w:hAnsi="宋体" w:cs="宋体" w:eastAsia="宋体"/>
          <w:sz w:val="24"/>
        </w:rPr>
        <w:t>时，主动协调资源推动问题解决。</w:t>
      </w:r>
    </w:p>
    <w:p>
      <w:pPr>
        <w:pStyle w:val="null3"/>
        <w:ind w:left="15" w:firstLine="479"/>
        <w:jc w:val="both"/>
      </w:pPr>
      <w:r>
        <w:rPr>
          <w:rFonts w:ascii="宋体" w:hAnsi="宋体" w:cs="宋体" w:eastAsia="宋体"/>
          <w:sz w:val="24"/>
        </w:rPr>
        <w:t>（</w:t>
      </w:r>
      <w:r>
        <w:rPr>
          <w:rFonts w:ascii="宋体" w:hAnsi="宋体" w:cs="宋体" w:eastAsia="宋体"/>
          <w:sz w:val="24"/>
        </w:rPr>
        <w:t>8）对用户使用系统进行培训工作。</w:t>
      </w:r>
    </w:p>
    <w:p>
      <w:pPr>
        <w:pStyle w:val="null3"/>
        <w:ind w:left="15" w:firstLine="479"/>
        <w:jc w:val="both"/>
      </w:pPr>
      <w:r>
        <w:rPr>
          <w:rFonts w:ascii="宋体" w:hAnsi="宋体" w:cs="宋体" w:eastAsia="宋体"/>
          <w:sz w:val="24"/>
        </w:rPr>
        <w:t>（</w:t>
      </w:r>
      <w:r>
        <w:rPr>
          <w:rFonts w:ascii="宋体" w:hAnsi="宋体" w:cs="宋体" w:eastAsia="宋体"/>
          <w:sz w:val="24"/>
        </w:rPr>
        <w:t>9）恪守保密制度，不得擅自泄露信息资料与数据。</w:t>
      </w:r>
    </w:p>
    <w:p>
      <w:pPr>
        <w:pStyle w:val="null3"/>
        <w:ind w:left="15" w:firstLine="479"/>
        <w:jc w:val="both"/>
      </w:pPr>
      <w:r>
        <w:rPr>
          <w:rFonts w:ascii="宋体" w:hAnsi="宋体" w:cs="宋体" w:eastAsia="宋体"/>
          <w:sz w:val="24"/>
        </w:rPr>
        <w:t>（</w:t>
      </w:r>
      <w:r>
        <w:rPr>
          <w:rFonts w:ascii="宋体" w:hAnsi="宋体" w:cs="宋体" w:eastAsia="宋体"/>
          <w:sz w:val="24"/>
        </w:rPr>
        <w:t>10）其它相关驻点工作。</w:t>
      </w:r>
    </w:p>
    <w:p>
      <w:pPr>
        <w:pStyle w:val="null3"/>
        <w:ind w:firstLine="480"/>
        <w:jc w:val="both"/>
      </w:pPr>
      <w:r>
        <w:rPr>
          <w:rFonts w:ascii="宋体" w:hAnsi="宋体" w:cs="宋体" w:eastAsia="宋体"/>
          <w:sz w:val="24"/>
          <w:color w:val="000000"/>
          <w:shd w:fill="FFFFFF" w:val="clear"/>
        </w:rPr>
        <w:t>★</w:t>
      </w:r>
      <w:r>
        <w:rPr>
          <w:rFonts w:ascii="宋体" w:hAnsi="宋体" w:cs="宋体" w:eastAsia="宋体"/>
          <w:sz w:val="24"/>
          <w:color w:val="000000"/>
          <w:shd w:fill="FFFFFF" w:val="clear"/>
        </w:rPr>
        <w:t>(</w:t>
      </w:r>
      <w:r>
        <w:rPr>
          <w:rFonts w:ascii="宋体" w:hAnsi="宋体" w:cs="宋体" w:eastAsia="宋体"/>
          <w:sz w:val="24"/>
          <w:color w:val="000000"/>
          <w:shd w:fill="FFFFFF" w:val="clear"/>
        </w:rPr>
        <w:t>11</w:t>
      </w:r>
      <w:r>
        <w:rPr>
          <w:rFonts w:ascii="宋体" w:hAnsi="宋体" w:cs="宋体" w:eastAsia="宋体"/>
          <w:sz w:val="24"/>
          <w:color w:val="000000"/>
          <w:shd w:fill="FFFFFF" w:val="clear"/>
        </w:rPr>
        <w:t>)</w:t>
      </w:r>
      <w:r>
        <w:rPr/>
        <w:t xml:space="preserve"> </w:t>
      </w:r>
      <w:r>
        <w:rPr>
          <w:rFonts w:ascii="宋体" w:hAnsi="宋体" w:cs="宋体" w:eastAsia="宋体"/>
          <w:sz w:val="24"/>
          <w:color w:val="000000"/>
        </w:rPr>
        <w:t>服务团队人员要求</w:t>
      </w:r>
    </w:p>
    <w:p>
      <w:pPr>
        <w:pStyle w:val="null3"/>
        <w:ind w:firstLine="480"/>
        <w:jc w:val="both"/>
      </w:pPr>
      <w:r>
        <w:rPr>
          <w:rFonts w:ascii="宋体" w:hAnsi="宋体" w:cs="宋体" w:eastAsia="宋体"/>
          <w:sz w:val="24"/>
          <w:color w:val="000000"/>
        </w:rPr>
        <w:t>1、服务团队基本要求</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1）具有中华人民共和国国籍；</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2）正式工作人员或者是签订1年以上劳动合同且实际工作满1年；</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3）拥护中华人民共和国宪法，拥护中国共产党领导和社会主义制度；</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4）具有良好的政治素质和道德品行；</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5）具有正常履行职责的身体条件和心理素质；</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6）具备符合职位要求的工作能力；</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7）法律、法规规定的其他条件。</w:t>
      </w:r>
    </w:p>
    <w:p>
      <w:pPr>
        <w:pStyle w:val="null3"/>
        <w:ind w:firstLine="480"/>
        <w:jc w:val="both"/>
      </w:pPr>
      <w:r>
        <w:rPr>
          <w:rFonts w:ascii="宋体" w:hAnsi="宋体" w:cs="宋体" w:eastAsia="宋体"/>
          <w:sz w:val="24"/>
          <w:color w:val="000000"/>
        </w:rPr>
        <w:t>2、禁止情形</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1）因犯罪受过刑事处罚的；</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2）被开除中国共产党党籍的；</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3）被开除公职的；</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4）被依法列为失信联合惩戒对象的；</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5）法律、法规规定不得使用的。</w:t>
      </w:r>
    </w:p>
    <w:p>
      <w:pPr>
        <w:pStyle w:val="null3"/>
        <w:ind w:firstLine="480"/>
        <w:jc w:val="both"/>
      </w:pPr>
      <w:r>
        <w:rPr>
          <w:rFonts w:ascii="宋体" w:hAnsi="宋体" w:cs="宋体" w:eastAsia="宋体"/>
          <w:sz w:val="24"/>
          <w:color w:val="000000"/>
        </w:rPr>
        <w:t>3、服务期限</w:t>
      </w:r>
    </w:p>
    <w:p>
      <w:pPr>
        <w:pStyle w:val="null3"/>
        <w:ind w:left="15" w:firstLine="480"/>
      </w:pPr>
      <w:r>
        <w:rPr>
          <w:rFonts w:ascii="宋体" w:hAnsi="宋体" w:cs="宋体" w:eastAsia="宋体"/>
          <w:sz w:val="24"/>
          <w:color w:val="000000"/>
        </w:rPr>
        <w:t>团队人员运维服务工作年限为合同签订之日起至运维服务工作完成之日。</w:t>
      </w:r>
    </w:p>
    <w:p>
      <w:pPr>
        <w:pStyle w:val="null3"/>
        <w:ind w:firstLine="482"/>
        <w:jc w:val="left"/>
      </w:pPr>
      <w:r>
        <w:rPr>
          <w:rFonts w:ascii="宋体" w:hAnsi="宋体" w:cs="宋体" w:eastAsia="宋体"/>
          <w:sz w:val="24"/>
          <w:b/>
          <w:color w:val="000000"/>
        </w:rPr>
        <w:t>（项号</w:t>
      </w:r>
      <w:r>
        <w:rPr>
          <w:rFonts w:ascii="宋体" w:hAnsi="宋体" w:cs="宋体" w:eastAsia="宋体"/>
          <w:sz w:val="24"/>
          <w:b/>
          <w:color w:val="000000"/>
        </w:rPr>
        <w:t>15）</w:t>
      </w:r>
      <w:r>
        <w:rPr>
          <w:rFonts w:ascii="宋体" w:hAnsi="宋体" w:cs="宋体" w:eastAsia="宋体"/>
          <w:sz w:val="24"/>
          <w:b/>
        </w:rPr>
        <w:t>2</w:t>
      </w:r>
      <w:r>
        <w:rPr>
          <w:rFonts w:ascii="宋体" w:hAnsi="宋体" w:cs="宋体" w:eastAsia="宋体"/>
          <w:sz w:val="24"/>
          <w:b/>
        </w:rPr>
        <w:t>.3硬件设备运维清单</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18"/>
        <w:gridCol w:w="1206"/>
        <w:gridCol w:w="1975"/>
        <w:gridCol w:w="1703"/>
        <w:gridCol w:w="920"/>
        <w:gridCol w:w="754"/>
        <w:gridCol w:w="1131"/>
      </w:tblGrid>
      <w:tr>
        <w:tc>
          <w:tcPr>
            <w:tcW w:type="dxa" w:w="61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5"/>
              <w:jc w:val="both"/>
            </w:pPr>
            <w:r>
              <w:rPr>
                <w:rFonts w:ascii="宋体" w:hAnsi="宋体" w:cs="宋体" w:eastAsia="宋体"/>
                <w:sz w:val="24"/>
                <w:b/>
              </w:rPr>
              <w:t>序</w:t>
            </w:r>
            <w:r>
              <w:rPr>
                <w:rFonts w:ascii="calibri" w:hAnsi="calibri" w:cs="calibri" w:eastAsia="calibri"/>
                <w:sz w:val="21"/>
              </w:rPr>
              <w:t xml:space="preserve"> </w:t>
            </w:r>
            <w:r>
              <w:rPr>
                <w:rFonts w:ascii="宋体" w:hAnsi="宋体" w:cs="宋体" w:eastAsia="宋体"/>
                <w:sz w:val="24"/>
                <w:b/>
              </w:rPr>
              <w:t>号</w:t>
            </w:r>
          </w:p>
        </w:tc>
        <w:tc>
          <w:tcPr>
            <w:tcW w:type="dxa" w:w="120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b/>
                <w:color w:val="000000"/>
              </w:rPr>
              <w:t>应用名称</w:t>
            </w:r>
          </w:p>
        </w:tc>
        <w:tc>
          <w:tcPr>
            <w:tcW w:type="dxa" w:w="19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b/>
                <w:color w:val="000000"/>
              </w:rPr>
              <w:t>设备型号</w:t>
            </w:r>
          </w:p>
        </w:tc>
        <w:tc>
          <w:tcPr>
            <w:tcW w:type="dxa" w:w="17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b/>
                <w:color w:val="000000"/>
              </w:rPr>
              <w:t>操作系统</w:t>
            </w:r>
          </w:p>
        </w:tc>
        <w:tc>
          <w:tcPr>
            <w:tcW w:type="dxa" w:w="9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b/>
                <w:color w:val="000000"/>
              </w:rPr>
              <w:t>本地硬盘</w:t>
            </w:r>
          </w:p>
        </w:tc>
        <w:tc>
          <w:tcPr>
            <w:tcW w:type="dxa" w:w="7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b/>
                <w:color w:val="000000"/>
              </w:rPr>
              <w:t>网络区域</w:t>
            </w:r>
          </w:p>
        </w:tc>
        <w:tc>
          <w:tcPr>
            <w:tcW w:type="dxa" w:w="11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b/>
                <w:color w:val="000000"/>
              </w:rPr>
              <w:t>购置时间</w:t>
            </w:r>
          </w:p>
        </w:tc>
      </w:tr>
      <w:tr>
        <w:tc>
          <w:tcPr>
            <w:tcW w:type="dxa" w:w="6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55"/>
              <w:jc w:val="center"/>
            </w:pPr>
            <w:r>
              <w:rPr>
                <w:rFonts w:ascii="宋体" w:hAnsi="宋体" w:cs="宋体" w:eastAsia="宋体"/>
                <w:sz w:val="24"/>
              </w:rPr>
              <w:t>1</w:t>
            </w:r>
          </w:p>
        </w:tc>
        <w:tc>
          <w:tcPr>
            <w:tcW w:type="dxa" w:w="1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80"/>
              <w:jc w:val="both"/>
            </w:pPr>
            <w:r>
              <w:rPr>
                <w:rFonts w:ascii="宋体" w:hAnsi="宋体" w:cs="宋体" w:eastAsia="宋体"/>
                <w:sz w:val="24"/>
              </w:rPr>
              <w:t>数据库服务器</w:t>
            </w:r>
            <w:r>
              <w:rPr>
                <w:rFonts w:ascii="calibri" w:hAnsi="calibri" w:cs="calibri" w:eastAsia="calibri"/>
                <w:sz w:val="21"/>
              </w:rPr>
              <w:t xml:space="preserve"> </w:t>
            </w:r>
            <w:r>
              <w:rPr>
                <w:rFonts w:ascii="宋体" w:hAnsi="宋体" w:cs="宋体" w:eastAsia="宋体"/>
                <w:sz w:val="24"/>
              </w:rPr>
              <w:t>1</w:t>
            </w:r>
          </w:p>
        </w:tc>
        <w:tc>
          <w:tcPr>
            <w:tcW w:type="dxa" w:w="19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95"/>
              <w:jc w:val="both"/>
            </w:pPr>
            <w:r>
              <w:rPr>
                <w:rFonts w:ascii="宋体" w:hAnsi="宋体" w:cs="宋体" w:eastAsia="宋体"/>
                <w:sz w:val="24"/>
              </w:rPr>
              <w:t>Lnspur-NF5280M4</w:t>
            </w:r>
          </w:p>
        </w:tc>
        <w:tc>
          <w:tcPr>
            <w:tcW w:type="dxa" w:w="17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宋体" w:hAnsi="宋体" w:cs="宋体" w:eastAsia="宋体"/>
                <w:sz w:val="24"/>
              </w:rPr>
              <w:t>win2018_r2_new2</w:t>
            </w: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jc w:val="both"/>
            </w:pPr>
            <w:r>
              <w:rPr>
                <w:rFonts w:ascii="宋体" w:hAnsi="宋体" w:cs="宋体" w:eastAsia="宋体"/>
                <w:sz w:val="24"/>
              </w:rPr>
              <w:t>1.2T SSD+32T</w:t>
            </w:r>
          </w:p>
        </w:tc>
        <w:tc>
          <w:tcPr>
            <w:tcW w:type="dxa" w:w="7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宋体" w:hAnsi="宋体" w:cs="宋体" w:eastAsia="宋体"/>
                <w:sz w:val="24"/>
              </w:rPr>
              <w:t>互联网区</w:t>
            </w:r>
          </w:p>
        </w:tc>
        <w:tc>
          <w:tcPr>
            <w:tcW w:type="dxa" w:w="1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jc w:val="both"/>
            </w:pPr>
            <w:r>
              <w:rPr>
                <w:rFonts w:ascii="宋体" w:hAnsi="宋体" w:cs="宋体" w:eastAsia="宋体"/>
                <w:sz w:val="24"/>
              </w:rPr>
              <w:t>2017/4/1</w:t>
            </w:r>
          </w:p>
        </w:tc>
      </w:tr>
      <w:tr>
        <w:tc>
          <w:tcPr>
            <w:tcW w:type="dxa" w:w="6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40"/>
              <w:jc w:val="center"/>
            </w:pPr>
            <w:r>
              <w:rPr>
                <w:rFonts w:ascii="宋体" w:hAnsi="宋体" w:cs="宋体" w:eastAsia="宋体"/>
                <w:sz w:val="24"/>
              </w:rPr>
              <w:t>2</w:t>
            </w:r>
          </w:p>
        </w:tc>
        <w:tc>
          <w:tcPr>
            <w:tcW w:type="dxa" w:w="1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80"/>
              <w:jc w:val="both"/>
            </w:pPr>
            <w:r>
              <w:rPr>
                <w:rFonts w:ascii="宋体" w:hAnsi="宋体" w:cs="宋体" w:eastAsia="宋体"/>
                <w:sz w:val="24"/>
              </w:rPr>
              <w:t>数据库服务器</w:t>
            </w:r>
            <w:r>
              <w:rPr>
                <w:rFonts w:ascii="calibri" w:hAnsi="calibri" w:cs="calibri" w:eastAsia="calibri"/>
                <w:sz w:val="21"/>
              </w:rPr>
              <w:t xml:space="preserve"> </w:t>
            </w:r>
            <w:r>
              <w:rPr>
                <w:rFonts w:ascii="宋体" w:hAnsi="宋体" w:cs="宋体" w:eastAsia="宋体"/>
                <w:sz w:val="24"/>
              </w:rPr>
              <w:t>2</w:t>
            </w:r>
          </w:p>
        </w:tc>
        <w:tc>
          <w:tcPr>
            <w:tcW w:type="dxa" w:w="19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95"/>
              <w:jc w:val="both"/>
            </w:pPr>
            <w:r>
              <w:rPr>
                <w:rFonts w:ascii="宋体" w:hAnsi="宋体" w:cs="宋体" w:eastAsia="宋体"/>
                <w:sz w:val="24"/>
              </w:rPr>
              <w:t>Lnspur-NF5280M4</w:t>
            </w:r>
          </w:p>
        </w:tc>
        <w:tc>
          <w:tcPr>
            <w:tcW w:type="dxa" w:w="17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both"/>
            </w:pPr>
            <w:r>
              <w:rPr>
                <w:rFonts w:ascii="宋体" w:hAnsi="宋体" w:cs="宋体" w:eastAsia="宋体"/>
                <w:sz w:val="24"/>
              </w:rPr>
              <w:t>win2018_r2_new2</w:t>
            </w: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65"/>
              <w:jc w:val="both"/>
            </w:pPr>
            <w:r>
              <w:rPr>
                <w:rFonts w:ascii="宋体" w:hAnsi="宋体" w:cs="宋体" w:eastAsia="宋体"/>
                <w:sz w:val="24"/>
              </w:rPr>
              <w:t>1.2T SSD+32T</w:t>
            </w:r>
          </w:p>
        </w:tc>
        <w:tc>
          <w:tcPr>
            <w:tcW w:type="dxa" w:w="7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rFonts w:ascii="宋体" w:hAnsi="宋体" w:cs="宋体" w:eastAsia="宋体"/>
                <w:sz w:val="24"/>
              </w:rPr>
              <w:t>互联网区</w:t>
            </w:r>
          </w:p>
        </w:tc>
        <w:tc>
          <w:tcPr>
            <w:tcW w:type="dxa" w:w="1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95"/>
              <w:jc w:val="both"/>
            </w:pPr>
            <w:r>
              <w:rPr>
                <w:rFonts w:ascii="宋体" w:hAnsi="宋体" w:cs="宋体" w:eastAsia="宋体"/>
                <w:sz w:val="24"/>
              </w:rPr>
              <w:t>2017/4/1</w:t>
            </w:r>
          </w:p>
        </w:tc>
      </w:tr>
      <w:tr>
        <w:tc>
          <w:tcPr>
            <w:tcW w:type="dxa" w:w="6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40"/>
              <w:jc w:val="center"/>
            </w:pPr>
            <w:r>
              <w:rPr>
                <w:rFonts w:ascii="宋体" w:hAnsi="宋体" w:cs="宋体" w:eastAsia="宋体"/>
                <w:sz w:val="24"/>
              </w:rPr>
              <w:t>3</w:t>
            </w:r>
          </w:p>
        </w:tc>
        <w:tc>
          <w:tcPr>
            <w:tcW w:type="dxa" w:w="1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855"/>
              <w:jc w:val="both"/>
            </w:pPr>
            <w:r>
              <w:rPr>
                <w:rFonts w:ascii="宋体" w:hAnsi="宋体" w:cs="宋体" w:eastAsia="宋体"/>
                <w:sz w:val="24"/>
              </w:rPr>
              <w:t>NAS</w:t>
            </w:r>
          </w:p>
        </w:tc>
        <w:tc>
          <w:tcPr>
            <w:tcW w:type="dxa" w:w="19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15"/>
              <w:jc w:val="both"/>
            </w:pPr>
            <w:r>
              <w:rPr>
                <w:rFonts w:ascii="宋体" w:hAnsi="宋体" w:cs="宋体" w:eastAsia="宋体"/>
                <w:sz w:val="24"/>
              </w:rPr>
              <w:t>Lnspur-AS520n</w:t>
            </w:r>
          </w:p>
        </w:tc>
        <w:tc>
          <w:tcPr>
            <w:tcW w:type="dxa" w:w="17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30T</w:t>
            </w:r>
          </w:p>
        </w:tc>
        <w:tc>
          <w:tcPr>
            <w:tcW w:type="dxa" w:w="7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both"/>
            </w:pPr>
            <w:r>
              <w:rPr>
                <w:rFonts w:ascii="宋体" w:hAnsi="宋体" w:cs="宋体" w:eastAsia="宋体"/>
                <w:sz w:val="24"/>
              </w:rPr>
              <w:t>互联网区</w:t>
            </w:r>
          </w:p>
        </w:tc>
        <w:tc>
          <w:tcPr>
            <w:tcW w:type="dxa" w:w="1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95"/>
              <w:jc w:val="both"/>
            </w:pPr>
            <w:r>
              <w:rPr>
                <w:rFonts w:ascii="宋体" w:hAnsi="宋体" w:cs="宋体" w:eastAsia="宋体"/>
                <w:sz w:val="24"/>
              </w:rPr>
              <w:t>2017/4/1</w:t>
            </w:r>
          </w:p>
        </w:tc>
      </w:tr>
    </w:tbl>
    <w:p>
      <w:pPr>
        <w:pStyle w:val="null3"/>
        <w:ind w:firstLine="482"/>
        <w:jc w:val="left"/>
      </w:pPr>
      <w:r>
        <w:rPr>
          <w:rFonts w:ascii="宋体" w:hAnsi="宋体" w:cs="宋体" w:eastAsia="宋体"/>
          <w:sz w:val="24"/>
          <w:b/>
          <w:color w:val="000000"/>
        </w:rPr>
        <w:t>（项号</w:t>
      </w:r>
      <w:r>
        <w:rPr>
          <w:rFonts w:ascii="宋体" w:hAnsi="宋体" w:cs="宋体" w:eastAsia="宋体"/>
          <w:sz w:val="24"/>
          <w:b/>
          <w:color w:val="000000"/>
        </w:rPr>
        <w:t>16）</w:t>
      </w:r>
      <w:r>
        <w:rPr>
          <w:rFonts w:ascii="宋体" w:hAnsi="宋体" w:cs="宋体" w:eastAsia="宋体"/>
          <w:sz w:val="24"/>
          <w:b/>
        </w:rPr>
        <w:t>2</w:t>
      </w:r>
      <w:r>
        <w:rPr>
          <w:rFonts w:ascii="宋体" w:hAnsi="宋体" w:cs="宋体" w:eastAsia="宋体"/>
          <w:sz w:val="24"/>
          <w:b/>
        </w:rPr>
        <w:t>.4运维服务考核计划</w:t>
      </w:r>
    </w:p>
    <w:p>
      <w:pPr>
        <w:pStyle w:val="null3"/>
        <w:ind w:left="15" w:firstLine="479"/>
        <w:jc w:val="both"/>
      </w:pPr>
      <w:r>
        <w:rPr>
          <w:rFonts w:ascii="宋体" w:hAnsi="宋体" w:cs="宋体" w:eastAsia="宋体"/>
          <w:sz w:val="24"/>
          <w:b/>
        </w:rPr>
        <w:t>考核单位：</w:t>
      </w:r>
      <w:r>
        <w:rPr>
          <w:rFonts w:ascii="宋体" w:hAnsi="宋体" w:cs="宋体" w:eastAsia="宋体"/>
          <w:sz w:val="24"/>
        </w:rPr>
        <w:t>福建省交通信息通信与应急处置中心</w:t>
      </w:r>
    </w:p>
    <w:p>
      <w:pPr>
        <w:pStyle w:val="null3"/>
        <w:ind w:left="15" w:firstLine="479"/>
        <w:jc w:val="both"/>
      </w:pPr>
      <w:r>
        <w:rPr>
          <w:rFonts w:ascii="宋体" w:hAnsi="宋体" w:cs="宋体" w:eastAsia="宋体"/>
          <w:sz w:val="24"/>
          <w:b/>
        </w:rPr>
        <w:t>被</w:t>
      </w:r>
      <w:r>
        <w:rPr>
          <w:rFonts w:ascii="宋体" w:hAnsi="宋体" w:cs="宋体" w:eastAsia="宋体"/>
          <w:sz w:val="24"/>
          <w:b/>
        </w:rPr>
        <w:t>考核</w:t>
      </w:r>
      <w:r>
        <w:rPr>
          <w:rFonts w:ascii="宋体" w:hAnsi="宋体" w:cs="宋体" w:eastAsia="宋体"/>
          <w:sz w:val="24"/>
          <w:b/>
        </w:rPr>
        <w:t>单位：</w:t>
      </w:r>
      <w:r>
        <w:rPr>
          <w:rFonts w:ascii="宋体" w:hAnsi="宋体" w:cs="宋体" w:eastAsia="宋体"/>
          <w:sz w:val="24"/>
        </w:rPr>
        <w:t>运维服务方</w:t>
      </w:r>
    </w:p>
    <w:p>
      <w:pPr>
        <w:pStyle w:val="null3"/>
        <w:ind w:left="15" w:firstLine="479"/>
        <w:jc w:val="both"/>
      </w:pPr>
      <w:r>
        <w:rPr>
          <w:rFonts w:ascii="宋体" w:hAnsi="宋体" w:cs="宋体" w:eastAsia="宋体"/>
          <w:sz w:val="24"/>
        </w:rPr>
        <w:t>运维服务考核主要内容有：</w:t>
      </w:r>
    </w:p>
    <w:p>
      <w:pPr>
        <w:pStyle w:val="null3"/>
        <w:ind w:left="15" w:firstLine="479"/>
        <w:jc w:val="both"/>
      </w:pPr>
      <w:r>
        <w:rPr>
          <w:rFonts w:ascii="宋体" w:hAnsi="宋体" w:cs="宋体" w:eastAsia="宋体"/>
          <w:sz w:val="24"/>
        </w:rPr>
        <w:t>（</w:t>
      </w:r>
      <w:r>
        <w:rPr>
          <w:rFonts w:ascii="宋体" w:hAnsi="宋体" w:cs="宋体" w:eastAsia="宋体"/>
          <w:sz w:val="24"/>
        </w:rPr>
        <w:t>1）现场值班监控；</w:t>
      </w:r>
    </w:p>
    <w:p>
      <w:pPr>
        <w:pStyle w:val="null3"/>
        <w:ind w:left="15" w:firstLine="479"/>
        <w:jc w:val="both"/>
      </w:pPr>
      <w:r>
        <w:rPr>
          <w:rFonts w:ascii="宋体" w:hAnsi="宋体" w:cs="宋体" w:eastAsia="宋体"/>
          <w:sz w:val="24"/>
        </w:rPr>
        <w:t>（</w:t>
      </w:r>
      <w:r>
        <w:rPr>
          <w:rFonts w:ascii="宋体" w:hAnsi="宋体" w:cs="宋体" w:eastAsia="宋体"/>
          <w:sz w:val="24"/>
        </w:rPr>
        <w:t>2）巡检及监测；</w:t>
      </w:r>
    </w:p>
    <w:p>
      <w:pPr>
        <w:pStyle w:val="null3"/>
        <w:ind w:left="15" w:firstLine="479"/>
        <w:jc w:val="both"/>
      </w:pPr>
      <w:r>
        <w:rPr>
          <w:rFonts w:ascii="宋体" w:hAnsi="宋体" w:cs="宋体" w:eastAsia="宋体"/>
          <w:sz w:val="24"/>
        </w:rPr>
        <w:t>（</w:t>
      </w:r>
      <w:r>
        <w:rPr>
          <w:rFonts w:ascii="宋体" w:hAnsi="宋体" w:cs="宋体" w:eastAsia="宋体"/>
          <w:sz w:val="24"/>
        </w:rPr>
        <w:t>3）运维服务管理；</w:t>
      </w:r>
    </w:p>
    <w:p>
      <w:pPr>
        <w:pStyle w:val="null3"/>
        <w:ind w:left="15" w:firstLine="479"/>
        <w:jc w:val="both"/>
      </w:pPr>
      <w:r>
        <w:rPr>
          <w:rFonts w:ascii="宋体" w:hAnsi="宋体" w:cs="宋体" w:eastAsia="宋体"/>
          <w:sz w:val="24"/>
        </w:rPr>
        <w:t>（</w:t>
      </w:r>
      <w:r>
        <w:rPr>
          <w:rFonts w:ascii="宋体" w:hAnsi="宋体" w:cs="宋体" w:eastAsia="宋体"/>
          <w:sz w:val="24"/>
        </w:rPr>
        <w:t>4）报告</w:t>
      </w:r>
      <w:r>
        <w:rPr>
          <w:rFonts w:ascii="宋体" w:hAnsi="宋体" w:cs="宋体" w:eastAsia="宋体"/>
          <w:sz w:val="24"/>
        </w:rPr>
        <w:t>及其</w:t>
      </w:r>
      <w:r>
        <w:rPr>
          <w:rFonts w:ascii="宋体" w:hAnsi="宋体" w:cs="宋体" w:eastAsia="宋体"/>
          <w:sz w:val="24"/>
        </w:rPr>
        <w:t>他文档。</w:t>
      </w:r>
    </w:p>
    <w:p>
      <w:pPr>
        <w:pStyle w:val="null3"/>
        <w:ind w:left="15" w:firstLine="479"/>
        <w:jc w:val="both"/>
      </w:pPr>
      <w:r>
        <w:rPr>
          <w:rFonts w:ascii="宋体" w:hAnsi="宋体" w:cs="宋体" w:eastAsia="宋体"/>
          <w:sz w:val="24"/>
        </w:rPr>
        <w:t>由福建省交通信息通信与应急处置中心结合项目工作实际进行考核。</w:t>
      </w:r>
      <w:r>
        <w:rPr>
          <w:rFonts w:ascii="calibri" w:hAnsi="calibri" w:cs="calibri" w:eastAsia="calibri"/>
          <w:sz w:val="21"/>
        </w:rPr>
        <w:t xml:space="preserve"> </w:t>
      </w:r>
    </w:p>
    <w:p>
      <w:pPr>
        <w:pStyle w:val="null3"/>
        <w:ind w:left="15" w:firstLine="479"/>
        <w:jc w:val="both"/>
      </w:pPr>
      <w:r>
        <w:rPr>
          <w:rFonts w:ascii="宋体" w:hAnsi="宋体" w:cs="宋体" w:eastAsia="宋体"/>
          <w:sz w:val="24"/>
        </w:rPr>
        <w:t>考核参照指标如下表：</w:t>
      </w:r>
    </w:p>
    <w:tbl>
      <w:tblPr>
        <w:tblW w:w="0" w:type="auto"/>
        <w:tblBorders>
          <w:top w:val="none" w:color="000000" w:sz="4"/>
          <w:left w:val="none" w:color="000000" w:sz="4"/>
          <w:bottom w:val="none" w:color="000000" w:sz="4"/>
          <w:right w:val="none" w:color="000000" w:sz="4"/>
          <w:insideH w:val="none"/>
          <w:insideV w:val="none"/>
        </w:tblBorders>
      </w:tblPr>
      <w:tblGrid>
        <w:gridCol w:w="1849"/>
        <w:gridCol w:w="1540"/>
        <w:gridCol w:w="3494"/>
        <w:gridCol w:w="1422"/>
      </w:tblGrid>
      <w:tr>
        <w:tc>
          <w:tcPr>
            <w:tcW w:type="dxa" w:w="1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类别</w:t>
            </w:r>
          </w:p>
        </w:tc>
        <w:tc>
          <w:tcPr>
            <w:tcW w:type="dxa" w:w="15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服务内容</w:t>
            </w:r>
          </w:p>
        </w:tc>
        <w:tc>
          <w:tcPr>
            <w:tcW w:type="dxa" w:w="3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评估标准</w:t>
            </w:r>
          </w:p>
        </w:tc>
        <w:tc>
          <w:tcPr>
            <w:tcW w:type="dxa" w:w="1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总分</w:t>
            </w:r>
          </w:p>
        </w:tc>
      </w:tr>
      <w:tr>
        <w:tc>
          <w:tcPr>
            <w:tcW w:type="dxa" w:w="184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现</w:t>
            </w:r>
            <w:r>
              <w:rPr>
                <w:rFonts w:ascii="宋体" w:hAnsi="宋体" w:cs="宋体" w:eastAsia="宋体"/>
                <w:sz w:val="24"/>
                <w:color w:val="000000"/>
              </w:rPr>
              <w:t>场</w:t>
            </w:r>
            <w:r>
              <w:rPr>
                <w:rFonts w:ascii="宋体" w:hAnsi="宋体" w:cs="宋体" w:eastAsia="宋体"/>
                <w:sz w:val="24"/>
                <w:color w:val="000000"/>
              </w:rPr>
              <w:t xml:space="preserve"> </w:t>
            </w:r>
            <w:r>
              <w:rPr>
                <w:rFonts w:ascii="宋体" w:hAnsi="宋体" w:cs="宋体" w:eastAsia="宋体"/>
                <w:sz w:val="24"/>
                <w:color w:val="000000"/>
              </w:rPr>
              <w:t>服</w:t>
            </w:r>
            <w:r>
              <w:rPr>
                <w:rFonts w:ascii="宋体" w:hAnsi="宋体" w:cs="宋体" w:eastAsia="宋体"/>
                <w:sz w:val="24"/>
                <w:color w:val="000000"/>
              </w:rPr>
              <w:t>务</w:t>
            </w:r>
          </w:p>
        </w:tc>
        <w:tc>
          <w:tcPr>
            <w:tcW w:type="dxa" w:w="154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日常工作</w:t>
            </w:r>
          </w:p>
        </w:tc>
        <w:tc>
          <w:tcPr>
            <w:tcW w:type="dxa" w:w="3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要求进行的系统运维工作，而运维方人员未按计划完成，或实施质</w:t>
            </w:r>
            <w:r>
              <w:rPr>
                <w:rFonts w:ascii="宋体" w:hAnsi="宋体" w:cs="宋体" w:eastAsia="宋体"/>
                <w:sz w:val="24"/>
                <w:color w:val="000000"/>
              </w:rPr>
              <w:t xml:space="preserve"> </w:t>
            </w:r>
            <w:r>
              <w:rPr>
                <w:rFonts w:ascii="宋体" w:hAnsi="宋体" w:cs="宋体" w:eastAsia="宋体"/>
                <w:sz w:val="24"/>
                <w:color w:val="000000"/>
              </w:rPr>
              <w:t>量未达要求的，</w:t>
            </w:r>
            <w:r>
              <w:rPr>
                <w:rFonts w:ascii="宋体" w:hAnsi="宋体" w:cs="宋体" w:eastAsia="宋体"/>
                <w:sz w:val="24"/>
                <w:color w:val="000000"/>
              </w:rPr>
              <w:t>由中心根据实际完成情况进行扣分，每次扣</w:t>
            </w:r>
            <w:r>
              <w:rPr>
                <w:rFonts w:ascii="宋体" w:hAnsi="宋体" w:cs="宋体" w:eastAsia="宋体"/>
                <w:sz w:val="24"/>
                <w:color w:val="000000"/>
              </w:rPr>
              <w:t>5 分； （具体工作内容及完成要求以邮件为准）；在实施过程中若遇到非 运维方能解决的困难，则需向中心反馈，否则视为未按计划完成工 作。</w:t>
            </w:r>
          </w:p>
        </w:tc>
        <w:tc>
          <w:tcPr>
            <w:tcW w:type="dxa" w:w="142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w:t>
            </w:r>
          </w:p>
        </w:tc>
      </w:tr>
      <w:tr>
        <w:tc>
          <w:tcPr>
            <w:tcW w:type="dxa" w:w="1849"/>
            <w:vMerge/>
            <w:tcBorders>
              <w:top w:val="none" w:color="000000" w:sz="4"/>
              <w:left w:val="single" w:color="000000" w:sz="4"/>
              <w:bottom w:val="none" w:color="000000" w:sz="4"/>
              <w:right w:val="single" w:color="000000" w:sz="4"/>
            </w:tcBorders>
          </w:tcPr>
          <w:p/>
        </w:tc>
        <w:tc>
          <w:tcPr>
            <w:tcW w:type="dxa" w:w="1540"/>
            <w:vMerge/>
            <w:tcBorders>
              <w:top w:val="none" w:color="000000" w:sz="4"/>
              <w:left w:val="none" w:color="000000" w:sz="4"/>
              <w:bottom w:val="none" w:color="000000" w:sz="4"/>
              <w:right w:val="single" w:color="000000" w:sz="4"/>
            </w:tcBorders>
          </w:tcPr>
          <w:p/>
        </w:tc>
        <w:tc>
          <w:tcPr>
            <w:tcW w:type="dxa" w:w="3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未能在规定时间内按中心要求提交工作月报、巡检报告等相</w:t>
            </w:r>
            <w:r>
              <w:rPr>
                <w:rFonts w:ascii="宋体" w:hAnsi="宋体" w:cs="宋体" w:eastAsia="宋体"/>
                <w:sz w:val="24"/>
                <w:color w:val="000000"/>
              </w:rPr>
              <w:t>关服务</w:t>
            </w:r>
            <w:r>
              <w:rPr>
                <w:rFonts w:ascii="宋体" w:hAnsi="宋体" w:cs="宋体" w:eastAsia="宋体"/>
                <w:sz w:val="24"/>
                <w:color w:val="000000"/>
              </w:rPr>
              <w:t>报告的，每次扣</w:t>
            </w:r>
            <w:r>
              <w:rPr>
                <w:rFonts w:ascii="宋体" w:hAnsi="宋体" w:cs="宋体" w:eastAsia="宋体"/>
                <w:sz w:val="24"/>
                <w:color w:val="000000"/>
              </w:rPr>
              <w:t>5 分。</w:t>
            </w:r>
          </w:p>
        </w:tc>
        <w:tc>
          <w:tcPr>
            <w:tcW w:type="dxa" w:w="1422"/>
            <w:vMerge/>
            <w:tcBorders>
              <w:top w:val="none" w:color="000000" w:sz="4"/>
              <w:left w:val="none" w:color="000000" w:sz="4"/>
              <w:bottom w:val="none" w:color="000000" w:sz="4"/>
              <w:right w:val="single" w:color="000000" w:sz="4"/>
            </w:tcBorders>
          </w:tcPr>
          <w:p/>
        </w:tc>
      </w:tr>
      <w:tr>
        <w:tc>
          <w:tcPr>
            <w:tcW w:type="dxa" w:w="1849"/>
            <w:vMerge/>
            <w:tcBorders>
              <w:top w:val="none" w:color="000000" w:sz="4"/>
              <w:left w:val="single" w:color="000000" w:sz="4"/>
              <w:bottom w:val="none" w:color="000000" w:sz="4"/>
              <w:right w:val="single" w:color="000000" w:sz="4"/>
            </w:tcBorders>
          </w:tcPr>
          <w:p/>
        </w:tc>
        <w:tc>
          <w:tcPr>
            <w:tcW w:type="dxa" w:w="1540"/>
            <w:vMerge/>
            <w:tcBorders>
              <w:top w:val="none" w:color="000000" w:sz="4"/>
              <w:left w:val="none" w:color="000000" w:sz="4"/>
              <w:bottom w:val="none" w:color="000000" w:sz="4"/>
              <w:right w:val="single" w:color="000000" w:sz="4"/>
            </w:tcBorders>
          </w:tcPr>
          <w:p/>
        </w:tc>
        <w:tc>
          <w:tcPr>
            <w:tcW w:type="dxa" w:w="3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若由于运维方人员未及时发现故障隐患最终导致故障发生的，</w:t>
            </w:r>
            <w:r>
              <w:rPr>
                <w:rFonts w:ascii="宋体" w:hAnsi="宋体" w:cs="宋体" w:eastAsia="宋体"/>
                <w:sz w:val="24"/>
                <w:color w:val="000000"/>
              </w:rPr>
              <w:t>每次</w:t>
            </w:r>
            <w:r>
              <w:rPr>
                <w:rFonts w:ascii="宋体" w:hAnsi="宋体" w:cs="宋体" w:eastAsia="宋体"/>
                <w:sz w:val="24"/>
                <w:color w:val="000000"/>
              </w:rPr>
              <w:t>扣</w:t>
            </w:r>
            <w:r>
              <w:rPr>
                <w:rFonts w:ascii="宋体" w:hAnsi="宋体" w:cs="宋体" w:eastAsia="宋体"/>
                <w:sz w:val="24"/>
                <w:color w:val="000000"/>
              </w:rPr>
              <w:t>5 分。</w:t>
            </w:r>
          </w:p>
        </w:tc>
        <w:tc>
          <w:tcPr>
            <w:tcW w:type="dxa" w:w="1422"/>
            <w:vMerge/>
            <w:tcBorders>
              <w:top w:val="none" w:color="000000" w:sz="4"/>
              <w:left w:val="none" w:color="000000" w:sz="4"/>
              <w:bottom w:val="none" w:color="000000" w:sz="4"/>
              <w:right w:val="single" w:color="000000" w:sz="4"/>
            </w:tcBorders>
          </w:tcPr>
          <w:p/>
        </w:tc>
      </w:tr>
      <w:tr>
        <w:tc>
          <w:tcPr>
            <w:tcW w:type="dxa" w:w="1849"/>
            <w:vMerge/>
            <w:tcBorders>
              <w:top w:val="none" w:color="000000" w:sz="4"/>
              <w:left w:val="single" w:color="000000" w:sz="4"/>
              <w:bottom w:val="none" w:color="000000" w:sz="4"/>
              <w:right w:val="single" w:color="000000" w:sz="4"/>
            </w:tcBorders>
          </w:tcPr>
          <w:p/>
        </w:tc>
        <w:tc>
          <w:tcPr>
            <w:tcW w:type="dxa" w:w="154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人员管理</w:t>
            </w:r>
          </w:p>
        </w:tc>
        <w:tc>
          <w:tcPr>
            <w:tcW w:type="dxa" w:w="3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中心对运维方人员不满意并提出书面投诉，每次扣</w:t>
            </w:r>
            <w:r>
              <w:rPr>
                <w:rFonts w:ascii="宋体" w:hAnsi="宋体" w:cs="宋体" w:eastAsia="宋体"/>
                <w:sz w:val="24"/>
                <w:color w:val="000000"/>
              </w:rPr>
              <w:t xml:space="preserve"> </w:t>
            </w:r>
            <w:r>
              <w:rPr>
                <w:rFonts w:ascii="宋体" w:hAnsi="宋体" w:cs="宋体" w:eastAsia="宋体"/>
                <w:sz w:val="24"/>
                <w:color w:val="000000"/>
              </w:rPr>
              <w:t>5 分。</w:t>
            </w:r>
          </w:p>
        </w:tc>
        <w:tc>
          <w:tcPr>
            <w:tcW w:type="dxa" w:w="142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w:t>
            </w:r>
          </w:p>
        </w:tc>
      </w:tr>
      <w:tr>
        <w:tc>
          <w:tcPr>
            <w:tcW w:type="dxa" w:w="1849"/>
            <w:vMerge/>
            <w:tcBorders>
              <w:top w:val="none" w:color="000000" w:sz="4"/>
              <w:left w:val="single" w:color="000000" w:sz="4"/>
              <w:bottom w:val="none" w:color="000000" w:sz="4"/>
              <w:right w:val="single" w:color="000000" w:sz="4"/>
            </w:tcBorders>
          </w:tcPr>
          <w:p/>
        </w:tc>
        <w:tc>
          <w:tcPr>
            <w:tcW w:type="dxa" w:w="1540"/>
            <w:vMerge/>
            <w:tcBorders>
              <w:top w:val="none" w:color="000000" w:sz="4"/>
              <w:left w:val="none" w:color="000000" w:sz="4"/>
              <w:bottom w:val="none" w:color="000000" w:sz="4"/>
              <w:right w:val="single" w:color="000000" w:sz="4"/>
            </w:tcBorders>
          </w:tcPr>
          <w:p/>
        </w:tc>
        <w:tc>
          <w:tcPr>
            <w:tcW w:type="dxa" w:w="3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运维方未按中心要求完成培训，每次扣</w:t>
            </w:r>
            <w:r>
              <w:rPr>
                <w:rFonts w:ascii="宋体" w:hAnsi="宋体" w:cs="宋体" w:eastAsia="宋体"/>
                <w:sz w:val="24"/>
                <w:color w:val="000000"/>
              </w:rPr>
              <w:t xml:space="preserve"> </w:t>
            </w:r>
            <w:r>
              <w:rPr>
                <w:rFonts w:ascii="宋体" w:hAnsi="宋体" w:cs="宋体" w:eastAsia="宋体"/>
                <w:sz w:val="24"/>
                <w:color w:val="000000"/>
              </w:rPr>
              <w:t>5 分。</w:t>
            </w:r>
          </w:p>
        </w:tc>
        <w:tc>
          <w:tcPr>
            <w:tcW w:type="dxa" w:w="1422"/>
            <w:vMerge/>
            <w:tcBorders>
              <w:top w:val="none" w:color="000000" w:sz="4"/>
              <w:left w:val="none" w:color="000000" w:sz="4"/>
              <w:bottom w:val="none" w:color="000000" w:sz="4"/>
              <w:right w:val="single" w:color="000000" w:sz="4"/>
            </w:tcBorders>
          </w:tcPr>
          <w:p/>
        </w:tc>
      </w:tr>
      <w:tr>
        <w:tc>
          <w:tcPr>
            <w:tcW w:type="dxa" w:w="1849"/>
            <w:vMerge/>
            <w:tcBorders>
              <w:top w:val="none" w:color="000000" w:sz="4"/>
              <w:left w:val="single" w:color="000000" w:sz="4"/>
              <w:bottom w:val="none" w:color="000000" w:sz="4"/>
              <w:right w:val="single" w:color="000000" w:sz="4"/>
            </w:tcBorders>
          </w:tcPr>
          <w:p/>
        </w:tc>
        <w:tc>
          <w:tcPr>
            <w:tcW w:type="dxa" w:w="154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应急管理</w:t>
            </w:r>
          </w:p>
        </w:tc>
        <w:tc>
          <w:tcPr>
            <w:tcW w:type="dxa" w:w="3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IV 级情况。属于普通问题,其具体现象为：系统功能、配置咨询，</w:t>
            </w:r>
            <w:r>
              <w:br/>
            </w:r>
            <w:r>
              <w:rPr>
                <w:rFonts w:ascii="宋体" w:hAnsi="宋体" w:cs="宋体" w:eastAsia="宋体"/>
                <w:sz w:val="24"/>
                <w:color w:val="000000"/>
              </w:rPr>
              <w:t>或其他显然不影响业务服务等开发故障工作。要求在</w:t>
            </w:r>
            <w:r>
              <w:rPr>
                <w:rFonts w:ascii="宋体" w:hAnsi="宋体" w:cs="宋体" w:eastAsia="宋体"/>
                <w:sz w:val="24"/>
                <w:color w:val="000000"/>
              </w:rPr>
              <w:t>30 分钟响应， 2 小时内提交处理方案，3 天内完成开发或故障处理。运维方未及时 完成的，每次扣 5 分；</w:t>
            </w:r>
          </w:p>
        </w:tc>
        <w:tc>
          <w:tcPr>
            <w:tcW w:type="dxa" w:w="142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w:t>
            </w:r>
          </w:p>
        </w:tc>
      </w:tr>
      <w:tr>
        <w:tc>
          <w:tcPr>
            <w:tcW w:type="dxa" w:w="1849"/>
            <w:vMerge/>
            <w:tcBorders>
              <w:top w:val="none" w:color="000000" w:sz="4"/>
              <w:left w:val="single" w:color="000000" w:sz="4"/>
              <w:bottom w:val="none" w:color="000000" w:sz="4"/>
              <w:right w:val="single" w:color="000000" w:sz="4"/>
            </w:tcBorders>
          </w:tcPr>
          <w:p/>
        </w:tc>
        <w:tc>
          <w:tcPr>
            <w:tcW w:type="dxa" w:w="1540"/>
            <w:vMerge/>
            <w:tcBorders>
              <w:top w:val="none" w:color="000000" w:sz="4"/>
              <w:left w:val="none" w:color="000000" w:sz="4"/>
              <w:bottom w:val="none" w:color="000000" w:sz="4"/>
              <w:right w:val="single" w:color="000000" w:sz="4"/>
            </w:tcBorders>
          </w:tcPr>
          <w:p/>
        </w:tc>
        <w:tc>
          <w:tcPr>
            <w:tcW w:type="dxa" w:w="3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III 级情况。属于较严重问题，其具体现象为：出现系统报错或警  告，但业务系统能继续运行且性能不受影响。要求在 30 分钟响应， 2 小时内提交故障处理方案，48 小时内完成故障处理。运维方未及 时完成的，每次扣 5 分；</w:t>
            </w:r>
          </w:p>
        </w:tc>
        <w:tc>
          <w:tcPr>
            <w:tcW w:type="dxa" w:w="1422"/>
            <w:vMerge/>
            <w:tcBorders>
              <w:top w:val="none" w:color="000000" w:sz="4"/>
              <w:left w:val="none" w:color="000000" w:sz="4"/>
              <w:bottom w:val="none" w:color="000000" w:sz="4"/>
              <w:right w:val="single" w:color="000000" w:sz="4"/>
            </w:tcBorders>
          </w:tcPr>
          <w:p/>
        </w:tc>
      </w:tr>
      <w:tr>
        <w:tc>
          <w:tcPr>
            <w:tcW w:type="dxa" w:w="1849"/>
            <w:vMerge/>
            <w:tcBorders>
              <w:top w:val="none" w:color="000000" w:sz="4"/>
              <w:left w:val="single" w:color="000000" w:sz="4"/>
              <w:bottom w:val="none" w:color="000000" w:sz="4"/>
              <w:right w:val="single" w:color="000000" w:sz="4"/>
            </w:tcBorders>
          </w:tcPr>
          <w:p/>
        </w:tc>
        <w:tc>
          <w:tcPr>
            <w:tcW w:type="dxa" w:w="1540"/>
            <w:vMerge/>
            <w:tcBorders>
              <w:top w:val="none" w:color="000000" w:sz="4"/>
              <w:left w:val="none" w:color="000000" w:sz="4"/>
              <w:bottom w:val="none" w:color="000000" w:sz="4"/>
              <w:right w:val="single" w:color="000000" w:sz="4"/>
            </w:tcBorders>
          </w:tcPr>
          <w:p/>
        </w:tc>
        <w:tc>
          <w:tcPr>
            <w:tcW w:type="dxa" w:w="3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II 级情况。属于严重问题，其具体现象为：出现部分业务功能失效、 系统性能下降但能正常运行，不影响正常业务运作。要求在 30 分钟 响应，2 小时内提交故障处理方案，24 小时内完成开发或故障处理。运维方未及时完成的，每次扣 10 分；</w:t>
            </w:r>
          </w:p>
        </w:tc>
        <w:tc>
          <w:tcPr>
            <w:tcW w:type="dxa" w:w="1422"/>
            <w:vMerge/>
            <w:tcBorders>
              <w:top w:val="none" w:color="000000" w:sz="4"/>
              <w:left w:val="none" w:color="000000" w:sz="4"/>
              <w:bottom w:val="none" w:color="000000" w:sz="4"/>
              <w:right w:val="single" w:color="000000" w:sz="4"/>
            </w:tcBorders>
          </w:tcPr>
          <w:p/>
        </w:tc>
      </w:tr>
      <w:tr>
        <w:tc>
          <w:tcPr>
            <w:tcW w:type="dxa" w:w="1849"/>
            <w:vMerge/>
            <w:tcBorders>
              <w:top w:val="none" w:color="000000" w:sz="4"/>
              <w:left w:val="single" w:color="000000" w:sz="4"/>
              <w:bottom w:val="none" w:color="000000" w:sz="4"/>
              <w:right w:val="single" w:color="000000" w:sz="4"/>
            </w:tcBorders>
          </w:tcPr>
          <w:p/>
        </w:tc>
        <w:tc>
          <w:tcPr>
            <w:tcW w:type="dxa" w:w="1540"/>
            <w:vMerge/>
            <w:tcBorders>
              <w:top w:val="none" w:color="000000" w:sz="4"/>
              <w:left w:val="none" w:color="000000" w:sz="4"/>
              <w:bottom w:val="none" w:color="000000" w:sz="4"/>
              <w:right w:val="single" w:color="000000" w:sz="4"/>
            </w:tcBorders>
          </w:tcPr>
          <w:p/>
        </w:tc>
        <w:tc>
          <w:tcPr>
            <w:tcW w:type="dxa" w:w="3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I 级情况。属于紧急问题；其具体现象为：系统崩溃导致业务停止、 数据丢失。要求在 30 分钟响应，2 小时内提交故障处理方案，12 小 时内完成故障处理。运维方未及时完成的，每次扣 10 分；</w:t>
            </w:r>
          </w:p>
        </w:tc>
        <w:tc>
          <w:tcPr>
            <w:tcW w:type="dxa" w:w="1422"/>
            <w:vMerge/>
            <w:tcBorders>
              <w:top w:val="none" w:color="000000" w:sz="4"/>
              <w:left w:val="none" w:color="000000" w:sz="4"/>
              <w:bottom w:val="none" w:color="000000" w:sz="4"/>
              <w:right w:val="single" w:color="000000" w:sz="4"/>
            </w:tcBorders>
          </w:tcPr>
          <w:p/>
        </w:tc>
      </w:tr>
      <w:tr>
        <w:tc>
          <w:tcPr>
            <w:tcW w:type="dxa" w:w="1849"/>
            <w:vMerge/>
            <w:tcBorders>
              <w:top w:val="none" w:color="000000" w:sz="4"/>
              <w:left w:val="single" w:color="000000" w:sz="4"/>
              <w:bottom w:val="none" w:color="000000" w:sz="4"/>
              <w:right w:val="single" w:color="000000" w:sz="4"/>
            </w:tcBorders>
          </w:tcP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工作态度</w:t>
            </w:r>
          </w:p>
        </w:tc>
        <w:tc>
          <w:tcPr>
            <w:tcW w:type="dxa" w:w="3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对交办的合理任务应执行</w:t>
            </w:r>
            <w:r>
              <w:rPr>
                <w:rFonts w:ascii="宋体" w:hAnsi="宋体" w:cs="宋体" w:eastAsia="宋体"/>
                <w:sz w:val="24"/>
                <w:color w:val="000000"/>
              </w:rPr>
              <w:t>,有较强的工作积极性与良好的工作态度， 发现一次合理任务拒不执行，一次扣 5 分；发现一次工作推迟（属 运维方原因），一次扣 5 分；</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w:t>
            </w:r>
          </w:p>
        </w:tc>
      </w:tr>
      <w:tr>
        <w:tc>
          <w:tcPr>
            <w:tcW w:type="dxa" w:w="1849"/>
            <w:vMerge/>
            <w:tcBorders>
              <w:top w:val="none" w:color="000000" w:sz="4"/>
              <w:left w:val="single" w:color="000000" w:sz="4"/>
              <w:bottom w:val="none" w:color="000000" w:sz="4"/>
              <w:right w:val="single" w:color="000000" w:sz="4"/>
            </w:tcBorders>
          </w:tcPr>
          <w:p/>
        </w:tc>
        <w:tc>
          <w:tcPr>
            <w:tcW w:type="dxa" w:w="1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功能提升</w:t>
            </w:r>
          </w:p>
        </w:tc>
        <w:tc>
          <w:tcPr>
            <w:tcW w:type="dxa" w:w="3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按照福建省道路运输车辆卫星定位公共服务平台功能升级内容要求</w:t>
            </w:r>
            <w:r>
              <w:rPr>
                <w:rFonts w:ascii="宋体" w:hAnsi="宋体" w:cs="宋体" w:eastAsia="宋体"/>
                <w:sz w:val="24"/>
                <w:color w:val="000000"/>
              </w:rPr>
              <w:t>完成任务，每有一项功能升级内容未完成扣</w:t>
            </w:r>
            <w:r>
              <w:rPr>
                <w:rFonts w:ascii="宋体" w:hAnsi="宋体" w:cs="宋体" w:eastAsia="宋体"/>
                <w:sz w:val="24"/>
                <w:color w:val="000000"/>
              </w:rPr>
              <w:t>10 分；扣完为止</w:t>
            </w:r>
          </w:p>
        </w:tc>
        <w:tc>
          <w:tcPr>
            <w:tcW w:type="dxa" w:w="1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w:t>
            </w:r>
          </w:p>
        </w:tc>
      </w:tr>
    </w:tbl>
    <w:p>
      <w:pPr>
        <w:pStyle w:val="null3"/>
        <w:jc w:val="both"/>
      </w:pPr>
      <w:r>
        <w:rPr>
          <w:rFonts w:ascii="宋体" w:hAnsi="宋体" w:cs="宋体" w:eastAsia="宋体"/>
          <w:sz w:val="24"/>
          <w:b/>
        </w:rPr>
        <w:t>2</w:t>
      </w:r>
      <w:r>
        <w:rPr>
          <w:rFonts w:ascii="宋体" w:hAnsi="宋体" w:cs="宋体" w:eastAsia="宋体"/>
          <w:sz w:val="24"/>
          <w:b/>
        </w:rPr>
        <w:t>.5项目验收计划</w:t>
      </w:r>
    </w:p>
    <w:p>
      <w:pPr>
        <w:pStyle w:val="null3"/>
        <w:ind w:firstLine="476"/>
        <w:jc w:val="left"/>
      </w:pPr>
      <w:r>
        <w:rPr>
          <w:rFonts w:ascii="宋体" w:hAnsi="宋体" w:cs="宋体" w:eastAsia="宋体"/>
          <w:sz w:val="24"/>
        </w:rPr>
        <w:t>日常性</w:t>
      </w:r>
      <w:r>
        <w:rPr>
          <w:rFonts w:ascii="宋体" w:hAnsi="宋体" w:cs="宋体" w:eastAsia="宋体"/>
          <w:sz w:val="24"/>
        </w:rPr>
        <w:t>维护以服务考核作为工作验收和付费依据。</w:t>
      </w:r>
    </w:p>
    <w:p>
      <w:pPr>
        <w:pStyle w:val="null3"/>
        <w:ind w:left="15" w:firstLine="479"/>
        <w:jc w:val="both"/>
      </w:pPr>
      <w:r>
        <w:rPr>
          <w:rFonts w:ascii="宋体" w:hAnsi="宋体" w:cs="宋体" w:eastAsia="宋体"/>
          <w:sz w:val="24"/>
          <w:b/>
          <w:color w:val="000000"/>
        </w:rPr>
        <w:t>（项号</w:t>
      </w:r>
      <w:r>
        <w:rPr>
          <w:rFonts w:ascii="宋体" w:hAnsi="宋体" w:cs="宋体" w:eastAsia="宋体"/>
          <w:sz w:val="24"/>
          <w:b/>
          <w:color w:val="000000"/>
        </w:rPr>
        <w:t>17）</w:t>
      </w:r>
      <w:r>
        <w:rPr>
          <w:rFonts w:ascii="宋体" w:hAnsi="宋体" w:cs="宋体" w:eastAsia="宋体"/>
          <w:sz w:val="24"/>
        </w:rPr>
        <w:t>1、验收流程</w:t>
      </w:r>
    </w:p>
    <w:p>
      <w:pPr>
        <w:pStyle w:val="null3"/>
        <w:ind w:left="15" w:firstLine="479"/>
        <w:jc w:val="both"/>
      </w:pPr>
      <w:r>
        <w:rPr>
          <w:rFonts w:ascii="宋体" w:hAnsi="宋体" w:cs="宋体" w:eastAsia="宋体"/>
          <w:sz w:val="24"/>
        </w:rPr>
        <w:t>运维服务方根据验收要求进行自查，确认满足条件后，向业主单位提交验收审核申</w:t>
      </w:r>
      <w:r>
        <w:rPr>
          <w:rFonts w:ascii="calibri" w:hAnsi="calibri" w:cs="calibri" w:eastAsia="calibri"/>
          <w:sz w:val="21"/>
        </w:rPr>
        <w:t xml:space="preserve"> </w:t>
      </w:r>
      <w:r>
        <w:rPr>
          <w:rFonts w:ascii="宋体" w:hAnsi="宋体" w:cs="宋体" w:eastAsia="宋体"/>
          <w:sz w:val="24"/>
        </w:rPr>
        <w:t>请，并提交验收材料（运维工作报告、运维安全报告、巡检记</w:t>
      </w:r>
      <w:r>
        <w:rPr>
          <w:rFonts w:ascii="宋体" w:hAnsi="宋体" w:cs="宋体" w:eastAsia="宋体"/>
          <w:sz w:val="24"/>
        </w:rPr>
        <w:t>录、故障处理报告等）。管理小组审查承建方的验收材料，如审查合格，组织验收小组、使用方和运维方进行验</w:t>
      </w:r>
      <w:r>
        <w:rPr>
          <w:rFonts w:ascii="宋体" w:hAnsi="宋体" w:cs="宋体" w:eastAsia="宋体"/>
          <w:sz w:val="24"/>
        </w:rPr>
        <w:t>收。</w:t>
      </w:r>
    </w:p>
    <w:p>
      <w:pPr>
        <w:pStyle w:val="null3"/>
        <w:ind w:left="15" w:firstLine="479"/>
        <w:jc w:val="both"/>
      </w:pPr>
      <w:r>
        <w:rPr>
          <w:rFonts w:ascii="宋体" w:hAnsi="宋体" w:cs="宋体" w:eastAsia="宋体"/>
          <w:sz w:val="24"/>
          <w:b/>
          <w:color w:val="000000"/>
        </w:rPr>
        <w:t>（项号</w:t>
      </w:r>
      <w:r>
        <w:rPr>
          <w:rFonts w:ascii="宋体" w:hAnsi="宋体" w:cs="宋体" w:eastAsia="宋体"/>
          <w:sz w:val="24"/>
          <w:b/>
          <w:color w:val="000000"/>
        </w:rPr>
        <w:t>18）</w:t>
      </w:r>
      <w:r>
        <w:rPr>
          <w:rFonts w:ascii="宋体" w:hAnsi="宋体" w:cs="宋体" w:eastAsia="宋体"/>
          <w:sz w:val="24"/>
        </w:rPr>
        <w:t>2、验收人员及职责</w:t>
      </w:r>
    </w:p>
    <w:p>
      <w:pPr>
        <w:pStyle w:val="null3"/>
        <w:ind w:left="15" w:firstLine="479"/>
        <w:jc w:val="both"/>
      </w:pPr>
      <w:r>
        <w:rPr>
          <w:rFonts w:ascii="宋体" w:hAnsi="宋体" w:cs="宋体" w:eastAsia="宋体"/>
          <w:sz w:val="24"/>
        </w:rPr>
        <w:t>业主</w:t>
      </w:r>
      <w:r>
        <w:rPr>
          <w:rFonts w:ascii="宋体" w:hAnsi="宋体" w:cs="宋体" w:eastAsia="宋体"/>
          <w:sz w:val="24"/>
        </w:rPr>
        <w:t>评测组负责验收材料以及系统整体运维情况进行审核</w:t>
      </w:r>
      <w:r>
        <w:rPr>
          <w:rFonts w:ascii="宋体" w:hAnsi="宋体" w:cs="宋体" w:eastAsia="宋体"/>
          <w:sz w:val="24"/>
        </w:rPr>
        <w:t>，形成最终评审意见。</w:t>
      </w:r>
    </w:p>
    <w:p>
      <w:pPr>
        <w:pStyle w:val="null3"/>
        <w:ind w:left="15" w:firstLine="479"/>
        <w:jc w:val="both"/>
      </w:pPr>
      <w:r>
        <w:rPr>
          <w:rFonts w:ascii="宋体" w:hAnsi="宋体" w:cs="宋体" w:eastAsia="宋体"/>
          <w:sz w:val="24"/>
          <w:b/>
          <w:color w:val="000000"/>
        </w:rPr>
        <w:t>（项号</w:t>
      </w:r>
      <w:r>
        <w:rPr>
          <w:rFonts w:ascii="宋体" w:hAnsi="宋体" w:cs="宋体" w:eastAsia="宋体"/>
          <w:sz w:val="24"/>
          <w:b/>
          <w:color w:val="000000"/>
        </w:rPr>
        <w:t>19）</w:t>
      </w:r>
      <w:r>
        <w:rPr>
          <w:rFonts w:ascii="宋体" w:hAnsi="宋体" w:cs="宋体" w:eastAsia="宋体"/>
          <w:sz w:val="24"/>
        </w:rPr>
        <w:t>3、服务执行半年和服务执行完毕后分别开展一次项目验收工作，验收时提交以下</w:t>
      </w:r>
      <w:r>
        <w:rPr>
          <w:rFonts w:ascii="宋体" w:hAnsi="宋体" w:cs="宋体" w:eastAsia="宋体"/>
          <w:sz w:val="24"/>
        </w:rPr>
        <w:t>材料：</w:t>
      </w:r>
    </w:p>
    <w:p>
      <w:pPr>
        <w:pStyle w:val="null3"/>
        <w:ind w:left="15" w:firstLine="479"/>
        <w:jc w:val="both"/>
      </w:pPr>
      <w:r>
        <w:rPr>
          <w:rFonts w:ascii="宋体" w:hAnsi="宋体" w:cs="宋体" w:eastAsia="宋体"/>
          <w:sz w:val="24"/>
        </w:rPr>
        <w:t>（</w:t>
      </w:r>
      <w:r>
        <w:rPr>
          <w:rFonts w:ascii="宋体" w:hAnsi="宋体" w:cs="宋体" w:eastAsia="宋体"/>
          <w:sz w:val="24"/>
        </w:rPr>
        <w:t>1）半年度/年度故障处理表；</w:t>
      </w:r>
    </w:p>
    <w:p>
      <w:pPr>
        <w:pStyle w:val="null3"/>
        <w:ind w:left="15" w:firstLine="479"/>
        <w:jc w:val="both"/>
      </w:pPr>
      <w:r>
        <w:rPr>
          <w:rFonts w:ascii="宋体" w:hAnsi="宋体" w:cs="宋体" w:eastAsia="宋体"/>
          <w:sz w:val="24"/>
        </w:rPr>
        <w:t>（</w:t>
      </w:r>
      <w:r>
        <w:rPr>
          <w:rFonts w:ascii="宋体" w:hAnsi="宋体" w:cs="宋体" w:eastAsia="宋体"/>
          <w:sz w:val="24"/>
        </w:rPr>
        <w:t>2）半年度/年度运维工作报告；</w:t>
      </w:r>
    </w:p>
    <w:p>
      <w:pPr>
        <w:pStyle w:val="null3"/>
        <w:ind w:left="15" w:firstLine="479"/>
        <w:jc w:val="both"/>
      </w:pPr>
      <w:r>
        <w:rPr>
          <w:rFonts w:ascii="宋体" w:hAnsi="宋体" w:cs="宋体" w:eastAsia="宋体"/>
          <w:sz w:val="24"/>
        </w:rPr>
        <w:t>（</w:t>
      </w:r>
      <w:r>
        <w:rPr>
          <w:rFonts w:ascii="宋体" w:hAnsi="宋体" w:cs="宋体" w:eastAsia="宋体"/>
          <w:sz w:val="24"/>
        </w:rPr>
        <w:t>3）半年度/年度验收单；</w:t>
      </w:r>
    </w:p>
    <w:p>
      <w:pPr>
        <w:pStyle w:val="null3"/>
        <w:ind w:left="15" w:firstLine="479"/>
        <w:jc w:val="both"/>
      </w:pPr>
      <w:r>
        <w:rPr>
          <w:rFonts w:ascii="宋体" w:hAnsi="宋体" w:cs="宋体" w:eastAsia="宋体"/>
          <w:sz w:val="24"/>
        </w:rPr>
        <w:t>（</w:t>
      </w:r>
      <w:r>
        <w:rPr>
          <w:rFonts w:ascii="宋体" w:hAnsi="宋体" w:cs="宋体" w:eastAsia="宋体"/>
          <w:sz w:val="24"/>
        </w:rPr>
        <w:t>4）半年度/年度日常巡检记录；</w:t>
      </w:r>
    </w:p>
    <w:p>
      <w:pPr>
        <w:pStyle w:val="null3"/>
        <w:ind w:left="15" w:firstLine="479"/>
        <w:jc w:val="both"/>
      </w:pPr>
      <w:r>
        <w:rPr>
          <w:rFonts w:ascii="宋体" w:hAnsi="宋体" w:cs="宋体" w:eastAsia="宋体"/>
          <w:sz w:val="24"/>
        </w:rPr>
        <w:t>（</w:t>
      </w:r>
      <w:r>
        <w:rPr>
          <w:rFonts w:ascii="宋体" w:hAnsi="宋体" w:cs="宋体" w:eastAsia="宋体"/>
          <w:sz w:val="24"/>
        </w:rPr>
        <w:t>5）半年度/年度安全报告；</w:t>
      </w:r>
    </w:p>
    <w:p>
      <w:pPr>
        <w:pStyle w:val="null3"/>
        <w:jc w:val="both"/>
        <w:outlineLvl w:val="2"/>
      </w:pPr>
      <w:r>
        <w:rPr>
          <w:sz w:val="28"/>
          <w:b/>
        </w:rPr>
        <w:t>三、商务要求（以“★”标示的内容为不允许负偏离的实质性要求）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自合同签订之日起12个月内完成。</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福建省福州市鼓楼区东水路18号交通综合大楼或用户指定地点</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按照招标文件要求完成服务，经采购人验收合格完成</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1、期次1，说明：按照招标文件要求</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1、合同签订后30日，达到付款条件起10日内，支付合同总金额的30.00%</w:t>
            </w:r>
          </w:p>
          <w:p>
            <w:pPr>
              <w:pStyle w:val="null3"/>
              <w:jc w:val="left"/>
            </w:pPr>
            <w:r>
              <w:rPr/>
              <w:t>2、服务执行半年后，通过项目半年验收后按考核及支付标 准进行支付。考核分达到90分（含90分） 以上，达到付款条件起10日内，支付合同总金额的20.00%</w:t>
            </w:r>
          </w:p>
          <w:p>
            <w:pPr>
              <w:pStyle w:val="null3"/>
              <w:jc w:val="left"/>
            </w:pPr>
            <w:r>
              <w:rPr/>
              <w:t>3、服务执行完毕后，通过项目整体验收后按考核及支付标 准进行支付。考核分达到90分（含90分） 以上，达到付款条件起10日内，支付合同总金额的50.00%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不缴纳</w:t>
            </w:r>
          </w:p>
        </w:tc>
      </w:tr>
    </w:tbl>
    <w:p>
      <w:pPr>
        <w:pStyle w:val="null3"/>
        <w:jc w:val="left"/>
      </w:pPr>
      <w:r>
        <w:rPr/>
        <w:t>其他商务要求</w:t>
      </w:r>
    </w:p>
    <w:p>
      <w:pPr>
        <w:pStyle w:val="null3"/>
        <w:ind w:firstLine="480"/>
        <w:jc w:val="left"/>
      </w:pPr>
      <w:r>
        <w:rPr>
          <w:rFonts w:ascii="宋体" w:hAnsi="宋体" w:cs="宋体" w:eastAsia="宋体"/>
          <w:sz w:val="24"/>
        </w:rPr>
        <w:t>★8.</w:t>
      </w:r>
      <w:r>
        <w:rPr>
          <w:rFonts w:ascii="宋体" w:hAnsi="宋体" w:cs="宋体" w:eastAsia="宋体"/>
          <w:sz w:val="24"/>
        </w:rPr>
        <w:t>项目考核每半年度付款一次，第一次考核服务费总额为合同总金额的</w:t>
      </w:r>
      <w:r>
        <w:rPr>
          <w:rFonts w:ascii="宋体" w:hAnsi="宋体" w:cs="宋体" w:eastAsia="宋体"/>
          <w:sz w:val="24"/>
        </w:rPr>
        <w:t>20%，第二次</w:t>
      </w:r>
      <w:r>
        <w:rPr>
          <w:rFonts w:ascii="宋体" w:hAnsi="宋体" w:cs="宋体" w:eastAsia="宋体"/>
          <w:sz w:val="24"/>
        </w:rPr>
        <w:t>考核服务费总额为合同总金额的</w:t>
      </w:r>
      <w:r>
        <w:rPr>
          <w:rFonts w:ascii="calibri" w:hAnsi="calibri" w:cs="calibri" w:eastAsia="calibri"/>
          <w:sz w:val="24"/>
        </w:rPr>
        <w:t xml:space="preserve"> </w:t>
      </w:r>
      <w:r>
        <w:rPr>
          <w:rFonts w:ascii="宋体" w:hAnsi="宋体" w:cs="宋体" w:eastAsia="宋体"/>
          <w:sz w:val="24"/>
        </w:rPr>
        <w:t>50%，结合工作实际进行考核，考核办法满分为</w:t>
      </w:r>
      <w:r>
        <w:rPr>
          <w:rFonts w:ascii="calibri" w:hAnsi="calibri" w:cs="calibri" w:eastAsia="calibri"/>
          <w:sz w:val="24"/>
        </w:rPr>
        <w:t xml:space="preserve"> </w:t>
      </w:r>
      <w:r>
        <w:rPr>
          <w:rFonts w:ascii="宋体" w:hAnsi="宋体" w:cs="宋体" w:eastAsia="宋体"/>
          <w:sz w:val="24"/>
        </w:rPr>
        <w:t>100</w:t>
      </w:r>
      <w:r>
        <w:rPr>
          <w:rFonts w:ascii="calibri" w:hAnsi="calibri" w:cs="calibri" w:eastAsia="calibri"/>
          <w:sz w:val="24"/>
        </w:rPr>
        <w:t xml:space="preserve"> </w:t>
      </w:r>
      <w:r>
        <w:rPr>
          <w:rFonts w:ascii="宋体" w:hAnsi="宋体" w:cs="宋体" w:eastAsia="宋体"/>
          <w:sz w:val="24"/>
        </w:rPr>
        <w:t>分，</w:t>
      </w:r>
      <w:r>
        <w:rPr>
          <w:rFonts w:ascii="calibri" w:hAnsi="calibri" w:cs="calibri" w:eastAsia="calibri"/>
          <w:sz w:val="24"/>
        </w:rPr>
        <w:t xml:space="preserve"> </w:t>
      </w:r>
      <w:r>
        <w:rPr>
          <w:rFonts w:ascii="宋体" w:hAnsi="宋体" w:cs="宋体" w:eastAsia="宋体"/>
          <w:sz w:val="24"/>
        </w:rPr>
        <w:t>该分数将作为服务费用支出的依据。当次考核分数高于</w:t>
      </w:r>
      <w:r>
        <w:rPr>
          <w:rFonts w:ascii="calibri" w:hAnsi="calibri" w:cs="calibri" w:eastAsia="calibri"/>
          <w:sz w:val="24"/>
        </w:rPr>
        <w:t xml:space="preserve"> </w:t>
      </w:r>
      <w:r>
        <w:rPr>
          <w:rFonts w:ascii="宋体" w:hAnsi="宋体" w:cs="宋体" w:eastAsia="宋体"/>
          <w:sz w:val="24"/>
        </w:rPr>
        <w:t>90</w:t>
      </w:r>
      <w:r>
        <w:rPr>
          <w:rFonts w:ascii="calibri" w:hAnsi="calibri" w:cs="calibri" w:eastAsia="calibri"/>
          <w:sz w:val="24"/>
        </w:rPr>
        <w:t xml:space="preserve"> </w:t>
      </w:r>
      <w:r>
        <w:rPr>
          <w:rFonts w:ascii="宋体" w:hAnsi="宋体" w:cs="宋体" w:eastAsia="宋体"/>
          <w:sz w:val="24"/>
        </w:rPr>
        <w:t>分（含</w:t>
      </w:r>
      <w:r>
        <w:rPr>
          <w:rFonts w:ascii="calibri" w:hAnsi="calibri" w:cs="calibri" w:eastAsia="calibri"/>
          <w:sz w:val="24"/>
        </w:rPr>
        <w:t xml:space="preserve"> </w:t>
      </w:r>
      <w:r>
        <w:rPr>
          <w:rFonts w:ascii="宋体" w:hAnsi="宋体" w:cs="宋体" w:eastAsia="宋体"/>
          <w:sz w:val="24"/>
        </w:rPr>
        <w:t>90</w:t>
      </w:r>
      <w:r>
        <w:rPr>
          <w:rFonts w:ascii="calibri" w:hAnsi="calibri" w:cs="calibri" w:eastAsia="calibri"/>
          <w:sz w:val="24"/>
        </w:rPr>
        <w:t xml:space="preserve"> </w:t>
      </w:r>
      <w:r>
        <w:rPr>
          <w:rFonts w:ascii="宋体" w:hAnsi="宋体" w:cs="宋体" w:eastAsia="宋体"/>
          <w:sz w:val="24"/>
        </w:rPr>
        <w:t>分</w:t>
      </w:r>
      <w:r>
        <w:rPr>
          <w:rFonts w:ascii="宋体" w:hAnsi="宋体" w:cs="宋体" w:eastAsia="宋体"/>
          <w:sz w:val="24"/>
        </w:rPr>
        <w:t>），</w:t>
      </w:r>
      <w:r>
        <w:rPr>
          <w:rFonts w:ascii="宋体" w:hAnsi="宋体" w:cs="宋体" w:eastAsia="宋体"/>
          <w:sz w:val="24"/>
        </w:rPr>
        <w:t>支付当次考</w:t>
      </w:r>
      <w:r>
        <w:rPr>
          <w:rFonts w:ascii="宋体" w:hAnsi="宋体" w:cs="宋体" w:eastAsia="宋体"/>
          <w:sz w:val="24"/>
        </w:rPr>
        <w:t>核总额的</w:t>
      </w:r>
      <w:r>
        <w:rPr>
          <w:rFonts w:ascii="calibri" w:hAnsi="calibri" w:cs="calibri" w:eastAsia="calibri"/>
          <w:sz w:val="24"/>
        </w:rPr>
        <w:t xml:space="preserve"> </w:t>
      </w:r>
      <w:r>
        <w:rPr>
          <w:rFonts w:ascii="宋体" w:hAnsi="宋体" w:cs="宋体" w:eastAsia="宋体"/>
          <w:sz w:val="24"/>
        </w:rPr>
        <w:t>100%为服务费；考核分数</w:t>
      </w:r>
      <w:r>
        <w:rPr>
          <w:rFonts w:ascii="calibri" w:hAnsi="calibri" w:cs="calibri" w:eastAsia="calibri"/>
          <w:sz w:val="24"/>
        </w:rPr>
        <w:t xml:space="preserve"> </w:t>
      </w:r>
      <w:r>
        <w:rPr>
          <w:rFonts w:ascii="宋体" w:hAnsi="宋体" w:cs="宋体" w:eastAsia="宋体"/>
          <w:sz w:val="24"/>
        </w:rPr>
        <w:t>89-80</w:t>
      </w:r>
      <w:r>
        <w:rPr>
          <w:rFonts w:ascii="calibri" w:hAnsi="calibri" w:cs="calibri" w:eastAsia="calibri"/>
          <w:sz w:val="24"/>
        </w:rPr>
        <w:t xml:space="preserve"> </w:t>
      </w:r>
      <w:r>
        <w:rPr>
          <w:rFonts w:ascii="宋体" w:hAnsi="宋体" w:cs="宋体" w:eastAsia="宋体"/>
          <w:sz w:val="24"/>
        </w:rPr>
        <w:t>分，支付当次考核总额的</w:t>
      </w:r>
      <w:r>
        <w:rPr>
          <w:rFonts w:ascii="宋体" w:hAnsi="宋体" w:cs="宋体" w:eastAsia="宋体"/>
          <w:sz w:val="24"/>
        </w:rPr>
        <w:t>80</w:t>
      </w:r>
      <w:r>
        <w:rPr>
          <w:rFonts w:ascii="宋体" w:hAnsi="宋体" w:cs="宋体" w:eastAsia="宋体"/>
          <w:sz w:val="24"/>
        </w:rPr>
        <w:t>%为服务费；考核分数</w:t>
      </w:r>
      <w:r>
        <w:rPr>
          <w:rFonts w:ascii="calibri" w:hAnsi="calibri" w:cs="calibri" w:eastAsia="calibri"/>
          <w:sz w:val="24"/>
        </w:rPr>
        <w:t xml:space="preserve"> </w:t>
      </w:r>
      <w:r>
        <w:rPr>
          <w:rFonts w:ascii="宋体" w:hAnsi="宋体" w:cs="宋体" w:eastAsia="宋体"/>
          <w:sz w:val="24"/>
        </w:rPr>
        <w:t>79-70</w:t>
      </w:r>
      <w:r>
        <w:rPr>
          <w:rFonts w:ascii="calibri" w:hAnsi="calibri" w:cs="calibri" w:eastAsia="calibri"/>
          <w:sz w:val="24"/>
        </w:rPr>
        <w:t xml:space="preserve"> </w:t>
      </w:r>
      <w:r>
        <w:rPr>
          <w:rFonts w:ascii="宋体" w:hAnsi="宋体" w:cs="宋体" w:eastAsia="宋体"/>
          <w:sz w:val="24"/>
        </w:rPr>
        <w:t>分，支付当次考核总额的</w:t>
      </w:r>
      <w:r>
        <w:rPr>
          <w:rFonts w:ascii="calibri" w:hAnsi="calibri" w:cs="calibri" w:eastAsia="calibri"/>
          <w:sz w:val="24"/>
        </w:rPr>
        <w:t xml:space="preserve"> </w:t>
      </w:r>
      <w:r>
        <w:rPr>
          <w:rFonts w:ascii="宋体" w:hAnsi="宋体" w:cs="宋体" w:eastAsia="宋体"/>
          <w:sz w:val="24"/>
        </w:rPr>
        <w:t>70%为服务费；考核分数</w:t>
      </w:r>
      <w:r>
        <w:rPr>
          <w:rFonts w:ascii="calibri" w:hAnsi="calibri" w:cs="calibri" w:eastAsia="calibri"/>
          <w:sz w:val="24"/>
        </w:rPr>
        <w:t xml:space="preserve"> </w:t>
      </w:r>
      <w:r>
        <w:rPr>
          <w:rFonts w:ascii="宋体" w:hAnsi="宋体" w:cs="宋体" w:eastAsia="宋体"/>
          <w:sz w:val="24"/>
        </w:rPr>
        <w:t>69-60</w:t>
      </w:r>
      <w:r>
        <w:rPr>
          <w:rFonts w:ascii="calibri" w:hAnsi="calibri" w:cs="calibri" w:eastAsia="calibri"/>
          <w:sz w:val="24"/>
        </w:rPr>
        <w:t xml:space="preserve"> </w:t>
      </w:r>
      <w:r>
        <w:rPr>
          <w:rFonts w:ascii="宋体" w:hAnsi="宋体" w:cs="宋体" w:eastAsia="宋体"/>
          <w:sz w:val="24"/>
        </w:rPr>
        <w:t>分，支付当次考核总额的</w:t>
      </w:r>
      <w:r>
        <w:rPr>
          <w:rFonts w:ascii="宋体" w:hAnsi="宋体" w:cs="宋体" w:eastAsia="宋体"/>
          <w:sz w:val="24"/>
        </w:rPr>
        <w:t>60%为服务费。若不能满足规定的服务要求，且考核低于</w:t>
      </w:r>
      <w:r>
        <w:rPr>
          <w:rFonts w:ascii="calibri" w:hAnsi="calibri" w:cs="calibri" w:eastAsia="calibri"/>
          <w:sz w:val="24"/>
        </w:rPr>
        <w:t xml:space="preserve"> </w:t>
      </w:r>
      <w:r>
        <w:rPr>
          <w:rFonts w:ascii="宋体" w:hAnsi="宋体" w:cs="宋体" w:eastAsia="宋体"/>
          <w:sz w:val="24"/>
        </w:rPr>
        <w:t>60</w:t>
      </w:r>
      <w:r>
        <w:rPr>
          <w:rFonts w:ascii="calibri" w:hAnsi="calibri" w:cs="calibri" w:eastAsia="calibri"/>
          <w:sz w:val="24"/>
        </w:rPr>
        <w:t xml:space="preserve"> </w:t>
      </w:r>
      <w:r>
        <w:rPr>
          <w:rFonts w:ascii="宋体" w:hAnsi="宋体" w:cs="宋体" w:eastAsia="宋体"/>
          <w:sz w:val="24"/>
        </w:rPr>
        <w:t>分的，将</w:t>
      </w:r>
      <w:r>
        <w:rPr>
          <w:rFonts w:ascii="宋体" w:hAnsi="宋体" w:cs="宋体" w:eastAsia="宋体"/>
          <w:sz w:val="24"/>
        </w:rPr>
        <w:t>扣除本期服</w:t>
      </w:r>
      <w:r>
        <w:rPr>
          <w:rFonts w:ascii="宋体" w:hAnsi="宋体" w:cs="宋体" w:eastAsia="宋体"/>
          <w:sz w:val="24"/>
        </w:rPr>
        <w:t>务费，并将签订合同时支付的合同总金额的</w:t>
      </w:r>
      <w:r>
        <w:rPr>
          <w:rFonts w:ascii="calibri" w:hAnsi="calibri" w:cs="calibri" w:eastAsia="calibri"/>
          <w:sz w:val="24"/>
        </w:rPr>
        <w:t xml:space="preserve"> </w:t>
      </w:r>
      <w:r>
        <w:rPr>
          <w:rFonts w:ascii="宋体" w:hAnsi="宋体" w:cs="宋体" w:eastAsia="宋体"/>
          <w:sz w:val="24"/>
        </w:rPr>
        <w:t>30.00%预付款退还。</w:t>
      </w:r>
    </w:p>
    <w:p>
      <w:pPr>
        <w:pStyle w:val="null3"/>
        <w:jc w:val="both"/>
        <w:outlineLvl w:val="2"/>
      </w:pPr>
      <w:r>
        <w:rPr>
          <w:sz w:val="28"/>
          <w:b/>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第六章 政府采购合同</w:t>
      </w:r>
    </w:p>
    <w:p>
      <w:pPr>
        <w:pStyle w:val="null3"/>
        <w:jc w:val="center"/>
        <w:outlineLvl w:val="2"/>
      </w:pPr>
      <w:r>
        <w:rPr>
          <w:sz w:val="28"/>
          <w:b/>
        </w:rPr>
        <w:t>参考文本</w:t>
      </w:r>
    </w:p>
    <w:p>
      <w:pPr>
        <w:pStyle w:val="null3"/>
        <w:jc w:val="left"/>
      </w:pPr>
      <w:r>
        <w:rPr/>
        <w:t>合同编号：</w:t>
      </w:r>
    </w:p>
    <w:p>
      <w:pPr>
        <w:pStyle w:val="null3"/>
        <w:jc w:val="center"/>
        <w:outlineLvl w:val="1"/>
      </w:pPr>
      <w:r>
        <w:rPr>
          <w:sz w:val="36"/>
          <w:b/>
        </w:rPr>
        <w:t xml:space="preserve"> 福建省政府采购合同（服务类）</w:t>
      </w:r>
    </w:p>
    <w:p>
      <w:pPr>
        <w:pStyle w:val="null3"/>
        <w:jc w:val="center"/>
        <w:outlineLvl w:val="3"/>
      </w:pPr>
      <w:r>
        <w:rPr>
          <w:sz w:val="24"/>
          <w:b/>
        </w:rPr>
        <w:t>编制说明</w:t>
      </w:r>
      <w:r>
        <w:br/>
      </w:r>
    </w:p>
    <w:p>
      <w:pPr>
        <w:pStyle w:val="null3"/>
        <w:jc w:val="left"/>
        <w:outlineLvl w:val="3"/>
      </w:pPr>
      <w:r>
        <w:rPr>
          <w:sz w:val="24"/>
          <w:b/>
        </w:rPr>
        <w:t xml:space="preserve"> 1.签订合同应遵守《中华人民共和国政府采购法》及其实施条例、《中华人民共和国民法典》等法律法规及其他有关规定。</w:t>
      </w:r>
    </w:p>
    <w:p>
      <w:pPr>
        <w:pStyle w:val="null3"/>
        <w:jc w:val="left"/>
        <w:outlineLvl w:val="3"/>
      </w:pPr>
      <w:r>
        <w:rPr>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sz w:val="24"/>
          <w:b/>
        </w:rPr>
        <w:t xml:space="preserve"> 3.政府有关主管部门对若干合同有规范文本的，可使用相应合同文本。</w:t>
      </w:r>
    </w:p>
    <w:p>
      <w:pPr>
        <w:pStyle w:val="null3"/>
        <w:jc w:val="left"/>
        <w:outlineLvl w:val="3"/>
      </w:pPr>
      <w:r>
        <w:rPr>
          <w:sz w:val="24"/>
          <w:b/>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sz w:val="24"/>
          <w:b/>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sz w:val="24"/>
          <w:b/>
        </w:rPr>
        <w:t xml:space="preserve"> 二、合同标的</w:t>
      </w:r>
      <w:r>
        <w:br/>
      </w:r>
    </w:p>
    <w:p>
      <w:pPr>
        <w:pStyle w:val="null3"/>
        <w:jc w:val="left"/>
        <w:outlineLvl w:val="3"/>
      </w:pPr>
      <w:r>
        <w:rPr>
          <w:sz w:val="24"/>
          <w:b/>
        </w:rPr>
        <w:t xml:space="preserve"> 三、价格形式及合同价款</w:t>
      </w:r>
    </w:p>
    <w:p>
      <w:pPr>
        <w:pStyle w:val="null3"/>
        <w:jc w:val="left"/>
        <w:outlineLvl w:val="4"/>
      </w:pPr>
      <w:r>
        <w:rPr>
          <w:sz w:val="20"/>
          <w:b/>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sz w:val="20"/>
          <w:b/>
        </w:rPr>
        <w:t xml:space="preserve"> 3.2合同价款包含范围</w:t>
      </w:r>
    </w:p>
    <w:p>
      <w:pPr>
        <w:pStyle w:val="null3"/>
        <w:jc w:val="left"/>
        <w:outlineLvl w:val="4"/>
      </w:pPr>
      <w:r>
        <w:rPr>
          <w:sz w:val="20"/>
          <w:b/>
        </w:rPr>
        <w:t xml:space="preserve"> 3.3其他需说明的事项：</w:t>
      </w:r>
    </w:p>
    <w:p>
      <w:pPr>
        <w:pStyle w:val="null3"/>
        <w:jc w:val="left"/>
        <w:outlineLvl w:val="3"/>
      </w:pPr>
      <w:r>
        <w:rPr>
          <w:sz w:val="24"/>
          <w:b/>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sz w:val="24"/>
          <w:b/>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sz w:val="24"/>
          <w:b/>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sz w:val="24"/>
          <w:b/>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sz w:val="24"/>
          <w:b/>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sz w:val="24"/>
          <w:b/>
        </w:rPr>
        <w:t xml:space="preserve"> 九、资金支付方式、时间和条件</w:t>
      </w:r>
      <w:r>
        <w:br/>
      </w:r>
    </w:p>
    <w:p>
      <w:pPr>
        <w:pStyle w:val="null3"/>
        <w:jc w:val="left"/>
        <w:outlineLvl w:val="3"/>
      </w:pPr>
      <w:r>
        <w:rPr>
          <w:sz w:val="24"/>
          <w:b/>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sz w:val="24"/>
          <w:b/>
        </w:rPr>
        <w:t xml:space="preserve"> 十一、合同期限</w:t>
      </w:r>
      <w:r>
        <w:br/>
      </w:r>
    </w:p>
    <w:p>
      <w:pPr>
        <w:pStyle w:val="null3"/>
        <w:jc w:val="left"/>
        <w:outlineLvl w:val="3"/>
      </w:pPr>
      <w:r>
        <w:rPr>
          <w:sz w:val="24"/>
          <w:b/>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sz w:val="24"/>
          <w:b/>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sz w:val="24"/>
          <w:b/>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sz w:val="24"/>
          <w:b/>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sz w:val="24"/>
          <w:b/>
        </w:rPr>
        <w:t xml:space="preserve"> 十六、合同其他条款</w:t>
      </w:r>
      <w:r>
        <w:br/>
      </w:r>
    </w:p>
    <w:p>
      <w:pPr>
        <w:pStyle w:val="null3"/>
        <w:jc w:val="left"/>
        <w:outlineLvl w:val="3"/>
      </w:pPr>
      <w:r>
        <w:rPr>
          <w:sz w:val="24"/>
          <w:b/>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sz w:val="24"/>
          <w:b/>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sz w:val="36"/>
          <w:b/>
        </w:rPr>
        <w:t>第七章 电子投标文件格式</w:t>
      </w:r>
    </w:p>
    <w:p>
      <w:pPr>
        <w:pStyle w:val="null3"/>
        <w:jc w:val="center"/>
        <w:outlineLvl w:val="2"/>
      </w:pPr>
      <w:r>
        <w:rPr>
          <w:sz w:val="28"/>
          <w:b/>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sz w:val="28"/>
          <w:b/>
        </w:rPr>
        <w:t>封面格式(资格及资信证明部分)</w:t>
      </w:r>
    </w:p>
    <w:p>
      <w:pPr>
        <w:pStyle w:val="null3"/>
        <w:jc w:val="center"/>
        <w:outlineLvl w:val="0"/>
      </w:pPr>
      <w:r>
        <w:rPr>
          <w:sz w:val="48"/>
          <w:b/>
        </w:rPr>
        <w:t>福建省政府采购投标文件</w:t>
      </w:r>
    </w:p>
    <w:p>
      <w:pPr>
        <w:pStyle w:val="null3"/>
        <w:jc w:val="center"/>
        <w:outlineLvl w:val="0"/>
      </w:pPr>
      <w:r>
        <w:rPr>
          <w:sz w:val="48"/>
          <w:b/>
        </w:rPr>
        <w:t>（资格及资信证明部分）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sz w:val="28"/>
          <w:b/>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①开标（报价）一览表</w:t>
      </w:r>
    </w:p>
    <w:p>
      <w:pPr>
        <w:pStyle w:val="null3"/>
        <w:ind w:firstLine="480"/>
        <w:jc w:val="left"/>
      </w:pPr>
      <w:r>
        <w:rPr/>
        <w:t>②投标（响应）报价明细表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1.1所投采购包的投标报价详见“开标（报价）一览表”及“投标（响应）报价明细表”。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通信地址：</w:t>
      </w:r>
    </w:p>
    <w:p>
      <w:pPr>
        <w:pStyle w:val="null3"/>
        <w:ind w:firstLine="480"/>
        <w:jc w:val="left"/>
      </w:pPr>
      <w:r>
        <w:rPr/>
        <w:t>邮编：</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sz w:val="28"/>
          <w:b/>
        </w:rPr>
        <w:t>二、投标人的资格及资信证明文件</w:t>
      </w:r>
    </w:p>
    <w:p>
      <w:pPr>
        <w:pStyle w:val="null3"/>
        <w:ind w:firstLine="960"/>
        <w:jc w:val="center"/>
        <w:outlineLvl w:val="3"/>
      </w:pPr>
      <w:r>
        <w:rPr>
          <w:sz w:val="24"/>
          <w:b/>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ind w:firstLine="960"/>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ind w:firstLine="960"/>
        <w:jc w:val="left"/>
      </w:pPr>
      <w:r>
        <w:rPr/>
        <w:t xml:space="preserve"> </w:t>
        <w:br/>
        <w:br w:type="page"/>
      </w:r>
    </w:p>
    <w:p>
      <w:pPr>
        <w:pStyle w:val="null3"/>
        <w:ind w:firstLine="960"/>
        <w:jc w:val="center"/>
        <w:outlineLvl w:val="3"/>
      </w:pPr>
      <w:r>
        <w:rPr>
          <w:sz w:val="24"/>
          <w:b/>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t xml:space="preserve"> </w:t>
        <w:br/>
        <w:br w:type="page"/>
      </w:r>
    </w:p>
    <w:p>
      <w:pPr>
        <w:pStyle w:val="null3"/>
        <w:ind w:firstLine="960"/>
        <w:jc w:val="center"/>
        <w:outlineLvl w:val="3"/>
      </w:pPr>
      <w:r>
        <w:rPr>
          <w:sz w:val="24"/>
          <w:b/>
        </w:rPr>
        <w:t>二-9中小企业声明函</w:t>
      </w:r>
    </w:p>
    <w:p>
      <w:pPr>
        <w:pStyle w:val="null3"/>
        <w:ind w:firstLine="960"/>
        <w:jc w:val="center"/>
        <w:outlineLvl w:val="3"/>
      </w:pPr>
      <w:r>
        <w:rPr>
          <w:sz w:val="24"/>
          <w:b/>
        </w:rPr>
        <w:t>（以资格条件落实中小企业扶持政策时适用，若有）</w:t>
      </w:r>
    </w:p>
    <w:p>
      <w:pPr>
        <w:pStyle w:val="null3"/>
        <w:ind w:firstLine="960"/>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sz w:val="24"/>
          <w:b/>
        </w:rPr>
        <w:t>残疾人福利性单位声明函</w:t>
      </w:r>
    </w:p>
    <w:p>
      <w:pPr>
        <w:pStyle w:val="null3"/>
        <w:ind w:firstLine="960"/>
        <w:jc w:val="center"/>
        <w:outlineLvl w:val="3"/>
      </w:pPr>
      <w:r>
        <w:rPr>
          <w:sz w:val="24"/>
          <w:b/>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ind w:firstLine="960"/>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t xml:space="preserve"> </w:t>
        <w:br/>
        <w:br w:type="page"/>
      </w:r>
    </w:p>
    <w:p>
      <w:pPr>
        <w:pStyle w:val="null3"/>
        <w:ind w:firstLine="960"/>
        <w:jc w:val="center"/>
        <w:outlineLvl w:val="3"/>
      </w:pPr>
      <w:r>
        <w:rPr>
          <w:sz w:val="24"/>
          <w:b/>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sz w:val="24"/>
          <w:b/>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sz w:val="24"/>
          <w:b/>
        </w:rPr>
        <w:t>二-12其他资格证明文件（若有）</w:t>
      </w:r>
    </w:p>
    <w:p>
      <w:pPr>
        <w:pStyle w:val="null3"/>
        <w:ind w:firstLine="960"/>
        <w:jc w:val="center"/>
        <w:outlineLvl w:val="3"/>
      </w:pPr>
      <w:r>
        <w:rPr>
          <w:sz w:val="24"/>
          <w:b/>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sz w:val="28"/>
          <w:b/>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sz w:val="28"/>
          <w:b/>
        </w:rPr>
        <w:t>封面格式(报价部分)</w:t>
      </w:r>
    </w:p>
    <w:p>
      <w:pPr>
        <w:pStyle w:val="null3"/>
        <w:jc w:val="center"/>
        <w:outlineLvl w:val="0"/>
      </w:pPr>
      <w:r>
        <w:rPr>
          <w:sz w:val="48"/>
          <w:b/>
        </w:rPr>
        <w:t>福建省政府采购投标文件</w:t>
      </w:r>
    </w:p>
    <w:p>
      <w:pPr>
        <w:pStyle w:val="null3"/>
        <w:jc w:val="center"/>
        <w:outlineLvl w:val="0"/>
      </w:pPr>
      <w:r>
        <w:rPr>
          <w:sz w:val="48"/>
          <w:b/>
        </w:rPr>
        <w:t>（报价部分）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一、开标（报价）一览表</w:t>
      </w:r>
    </w:p>
    <w:p>
      <w:pPr>
        <w:pStyle w:val="null3"/>
        <w:ind w:firstLine="480"/>
        <w:jc w:val="left"/>
      </w:pPr>
      <w:r>
        <w:rPr/>
        <w:t>二、投标（响应）报价明细表</w:t>
      </w:r>
    </w:p>
    <w:p>
      <w:pPr>
        <w:pStyle w:val="null3"/>
        <w:ind w:firstLine="480"/>
        <w:jc w:val="left"/>
      </w:pPr>
      <w:r>
        <w:rPr/>
        <w:t>三、招标文件规定的价格扣除证明材料（若有）</w:t>
      </w:r>
    </w:p>
    <w:p>
      <w:pPr>
        <w:pStyle w:val="null3"/>
        <w:ind w:firstLine="480"/>
        <w:jc w:val="left"/>
      </w:pPr>
      <w:r>
        <w:rPr/>
        <w:t xml:space="preserve"> </w:t>
        <w:br/>
        <w:br w:type="page"/>
      </w:r>
    </w:p>
    <w:p>
      <w:pPr>
        <w:pStyle w:val="null3"/>
        <w:jc w:val="left"/>
        <w:outlineLvl w:val="0"/>
      </w:pPr>
      <w:r>
        <w:rPr>
          <w:sz w:val="48"/>
          <w:b/>
        </w:rPr>
        <w:t>开标（报价）一览表</w:t>
      </w:r>
    </w:p>
    <w:p>
      <w:pPr>
        <w:pStyle w:val="null3"/>
        <w:jc w:val="left"/>
      </w:pPr>
      <w:r>
        <w:rPr/>
        <w:t>公司名称：</w:t>
      </w:r>
    </w:p>
    <w:p>
      <w:pPr>
        <w:pStyle w:val="null3"/>
        <w:jc w:val="left"/>
      </w:pPr>
      <w:r>
        <w:rPr/>
        <w:t>包号：</w:t>
      </w:r>
      <w:r>
        <w:rPr/>
        <w:t>1</w:t>
      </w:r>
    </w:p>
    <w:p>
      <w:pPr>
        <w:pStyle w:val="null3"/>
        <w:jc w:val="left"/>
      </w:pPr>
      <w:r>
        <w:rPr/>
        <w:t>项目编号：</w:t>
      </w:r>
      <w:r>
        <w:rPr/>
        <w:t>[350001]FJTH[GK]2024032</w:t>
      </w:r>
    </w:p>
    <w:p>
      <w:pPr>
        <w:pStyle w:val="null3"/>
        <w:jc w:val="left"/>
      </w:pPr>
      <w:r>
        <w:rPr/>
        <w:t>项目名称：</w:t>
      </w:r>
      <w:r>
        <w:rPr/>
        <w:t>2024年营运车辆卫星定位服务平台运行维护服务项目</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 xml:space="preserve"> 序号</w:t>
            </w:r>
          </w:p>
        </w:tc>
        <w:tc>
          <w:tcPr>
            <w:tcW w:type="dxa" w:w="1661"/>
          </w:tcPr>
          <w:p>
            <w:pPr>
              <w:pStyle w:val="null3"/>
              <w:jc w:val="left"/>
            </w:pPr>
            <w:r>
              <w:rPr/>
              <w:t xml:space="preserve"> 报价内容</w:t>
            </w:r>
          </w:p>
        </w:tc>
        <w:tc>
          <w:tcPr>
            <w:tcW w:type="dxa" w:w="1661"/>
          </w:tcPr>
          <w:p>
            <w:pPr>
              <w:pStyle w:val="null3"/>
              <w:jc w:val="left"/>
            </w:pPr>
            <w:r>
              <w:rPr/>
              <w:t xml:space="preserve"> 最高限价</w:t>
            </w:r>
          </w:p>
        </w:tc>
        <w:tc>
          <w:tcPr>
            <w:tcW w:type="dxa" w:w="1661"/>
          </w:tcPr>
          <w:p>
            <w:pPr>
              <w:pStyle w:val="null3"/>
              <w:jc w:val="left"/>
            </w:pPr>
            <w:r>
              <w:rPr/>
              <w:t xml:space="preserve"> 响应报价</w:t>
            </w:r>
          </w:p>
        </w:tc>
        <w:tc>
          <w:tcPr>
            <w:tcW w:type="dxa" w:w="1661"/>
          </w:tcPr>
          <w:p>
            <w:pPr>
              <w:pStyle w:val="null3"/>
              <w:jc w:val="left"/>
            </w:pPr>
            <w:r>
              <w:rPr/>
              <w:t xml:space="preserve"> 价款形式</w:t>
            </w:r>
          </w:p>
        </w:tc>
      </w:tr>
      <w:tr>
        <w:tc>
          <w:tcPr>
            <w:tcW w:type="dxa" w:w="1661"/>
          </w:tcPr>
          <w:p>
            <w:pPr>
              <w:pStyle w:val="null3"/>
              <w:jc w:val="left"/>
            </w:pPr>
            <w:r>
              <w:rPr/>
              <w:t xml:space="preserve"> 1</w:t>
            </w:r>
          </w:p>
        </w:tc>
        <w:tc>
          <w:tcPr>
            <w:tcW w:type="dxa" w:w="1661"/>
          </w:tcPr>
          <w:p>
            <w:pPr>
              <w:pStyle w:val="null3"/>
              <w:jc w:val="left"/>
            </w:pPr>
            <w:r>
              <w:rPr/>
              <w:t xml:space="preserve"> 2024年营运车辆卫星定位服务平台运行维护服务项目</w:t>
            </w:r>
          </w:p>
        </w:tc>
        <w:tc>
          <w:tcPr>
            <w:tcW w:type="dxa" w:w="1661"/>
          </w:tcPr>
          <w:p>
            <w:pPr>
              <w:pStyle w:val="null3"/>
              <w:jc w:val="left"/>
            </w:pPr>
            <w:r>
              <w:rPr/>
              <w:t xml:space="preserve"> 304000.0000 </w:t>
            </w:r>
            <w:r>
              <w:rPr/>
              <w:t xml:space="preserve"> 元</w:t>
            </w:r>
          </w:p>
        </w:tc>
        <w:tc>
          <w:tcPr>
            <w:tcW w:type="dxa" w:w="1661"/>
          </w:tcPr>
          <w:p>
            <w:pPr>
              <w:pStyle w:val="null3"/>
              <w:jc w:val="left"/>
            </w:pPr>
            <w:r>
              <w:rPr/>
              <w:t xml:space="preserve"> 「汇总引用」 </w:t>
            </w:r>
            <w:r>
              <w:rPr/>
              <w:t xml:space="preserve"> 元</w:t>
            </w:r>
          </w:p>
        </w:tc>
        <w:tc>
          <w:tcPr>
            <w:tcW w:type="dxa" w:w="1661"/>
          </w:tcPr>
          <w:p>
            <w:pPr>
              <w:pStyle w:val="null3"/>
              <w:jc w:val="left"/>
            </w:pPr>
            <w:r>
              <w:rPr/>
              <w:t xml:space="preserve"> 总价</w:t>
            </w:r>
          </w:p>
        </w:tc>
      </w:tr>
    </w:tbl>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投标（响应）报价明细表</w:t>
      </w:r>
    </w:p>
    <w:p>
      <w:pPr>
        <w:pStyle w:val="null3"/>
        <w:jc w:val="left"/>
      </w:pPr>
      <w:r>
        <w:rPr/>
        <w:t>公司名称：</w:t>
      </w:r>
    </w:p>
    <w:p>
      <w:pPr>
        <w:pStyle w:val="null3"/>
        <w:jc w:val="left"/>
      </w:pPr>
      <w:r>
        <w:rPr/>
        <w:t>包号：</w:t>
      </w:r>
      <w:r>
        <w:rPr/>
        <w:t>1</w:t>
      </w:r>
    </w:p>
    <w:p>
      <w:pPr>
        <w:pStyle w:val="null3"/>
        <w:jc w:val="left"/>
      </w:pPr>
      <w:r>
        <w:rPr/>
        <w:t>项目编号：</w:t>
      </w:r>
      <w:r>
        <w:rPr/>
        <w:t>[350001]FJTH[GK]2024032</w:t>
      </w:r>
    </w:p>
    <w:p>
      <w:pPr>
        <w:pStyle w:val="null3"/>
        <w:jc w:val="left"/>
      </w:pPr>
      <w:r>
        <w:rPr/>
        <w:t>项目名称：</w:t>
      </w:r>
      <w:r>
        <w:rPr/>
        <w:t>2024年营运车辆卫星定位服务平台运行维护服务项目</w:t>
      </w:r>
    </w:p>
    <w:p>
      <w:pPr>
        <w:pStyle w:val="null3"/>
        <w:jc w:val="left"/>
      </w:pPr>
      <w:r>
        <w:rPr/>
        <w:t xml:space="preserve"> 2024年营运车辆卫星定位服务平台运行维护服务项目</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t xml:space="preserve"> 序号</w:t>
            </w:r>
          </w:p>
        </w:tc>
        <w:tc>
          <w:tcPr>
            <w:tcW w:type="dxa" w:w="755"/>
          </w:tcPr>
          <w:p>
            <w:pPr>
              <w:pStyle w:val="null3"/>
              <w:jc w:val="left"/>
            </w:pPr>
            <w:r>
              <w:rPr/>
              <w:t xml:space="preserve"> 服务名称</w:t>
            </w:r>
          </w:p>
        </w:tc>
        <w:tc>
          <w:tcPr>
            <w:tcW w:type="dxa" w:w="755"/>
          </w:tcPr>
          <w:p>
            <w:pPr>
              <w:pStyle w:val="null3"/>
              <w:jc w:val="left"/>
            </w:pPr>
            <w:r>
              <w:rPr/>
              <w:t xml:space="preserve"> 服务范围</w:t>
            </w:r>
          </w:p>
        </w:tc>
        <w:tc>
          <w:tcPr>
            <w:tcW w:type="dxa" w:w="755"/>
          </w:tcPr>
          <w:p>
            <w:pPr>
              <w:pStyle w:val="null3"/>
              <w:jc w:val="left"/>
            </w:pPr>
            <w:r>
              <w:rPr/>
              <w:t xml:space="preserve"> 服务要求</w:t>
            </w:r>
          </w:p>
        </w:tc>
        <w:tc>
          <w:tcPr>
            <w:tcW w:type="dxa" w:w="755"/>
          </w:tcPr>
          <w:p>
            <w:pPr>
              <w:pStyle w:val="null3"/>
              <w:jc w:val="left"/>
            </w:pPr>
            <w:r>
              <w:rPr/>
              <w:t xml:space="preserve"> 服务时间</w:t>
            </w:r>
          </w:p>
        </w:tc>
        <w:tc>
          <w:tcPr>
            <w:tcW w:type="dxa" w:w="755"/>
          </w:tcPr>
          <w:p>
            <w:pPr>
              <w:pStyle w:val="null3"/>
              <w:jc w:val="left"/>
            </w:pPr>
            <w:r>
              <w:rPr/>
              <w:t xml:space="preserve"> 服务标准</w:t>
            </w:r>
          </w:p>
        </w:tc>
        <w:tc>
          <w:tcPr>
            <w:tcW w:type="dxa" w:w="755"/>
          </w:tcPr>
          <w:p>
            <w:pPr>
              <w:pStyle w:val="null3"/>
              <w:jc w:val="left"/>
            </w:pPr>
            <w:r>
              <w:rPr/>
              <w:t xml:space="preserve"> 最高限价</w:t>
            </w:r>
          </w:p>
        </w:tc>
        <w:tc>
          <w:tcPr>
            <w:tcW w:type="dxa" w:w="755"/>
          </w:tcPr>
          <w:p>
            <w:pPr>
              <w:pStyle w:val="null3"/>
              <w:jc w:val="left"/>
            </w:pPr>
            <w:r>
              <w:rPr/>
              <w:t xml:space="preserve"> 单价</w:t>
            </w:r>
          </w:p>
        </w:tc>
        <w:tc>
          <w:tcPr>
            <w:tcW w:type="dxa" w:w="755"/>
          </w:tcPr>
          <w:p>
            <w:pPr>
              <w:pStyle w:val="null3"/>
              <w:jc w:val="left"/>
            </w:pPr>
            <w:r>
              <w:rPr/>
              <w:t xml:space="preserve"> 数量</w:t>
            </w:r>
          </w:p>
        </w:tc>
        <w:tc>
          <w:tcPr>
            <w:tcW w:type="dxa" w:w="755"/>
          </w:tcPr>
          <w:p>
            <w:pPr>
              <w:pStyle w:val="null3"/>
              <w:jc w:val="left"/>
            </w:pPr>
            <w:r>
              <w:rPr/>
              <w:t xml:space="preserve"> 计量单位</w:t>
            </w:r>
          </w:p>
        </w:tc>
        <w:tc>
          <w:tcPr>
            <w:tcW w:type="dxa" w:w="755"/>
          </w:tcPr>
          <w:p>
            <w:pPr>
              <w:pStyle w:val="null3"/>
              <w:jc w:val="left"/>
            </w:pPr>
            <w:r>
              <w:rPr/>
              <w:t xml:space="preserve"> 总价</w:t>
            </w:r>
          </w:p>
        </w:tc>
      </w:tr>
      <w:tr>
        <w:tc>
          <w:tcPr>
            <w:tcW w:type="dxa" w:w="755"/>
          </w:tcPr>
          <w:p>
            <w:pPr>
              <w:pStyle w:val="null3"/>
              <w:jc w:val="left"/>
            </w:pPr>
            <w:r>
              <w:rPr/>
              <w:t xml:space="preserve"> 1</w:t>
            </w:r>
          </w:p>
        </w:tc>
        <w:tc>
          <w:tcPr>
            <w:tcW w:type="dxa" w:w="755"/>
          </w:tcPr>
          <w:p>
            <w:pPr>
              <w:pStyle w:val="null3"/>
              <w:jc w:val="left"/>
            </w:pPr>
            <w:r>
              <w:rPr/>
              <w:t xml:space="preserve"> 2024年营运车辆卫星定位服务平台运行维护服务项目</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304000.0000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bl>
    <w:p>
      <w:pPr>
        <w:pStyle w:val="null3"/>
        <w:jc w:val="left"/>
      </w:pPr>
      <w:r>
        <w:rPr/>
        <w:t>合计</w:t>
      </w:r>
      <w:r>
        <w:rPr/>
        <w:t>：</w:t>
      </w:r>
    </w:p>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pPr>
      <w:r>
        <w:rPr/>
        <w:t xml:space="preserve"> </w:t>
        <w:br/>
        <w:br w:type="page"/>
      </w:r>
    </w:p>
    <w:p>
      <w:pPr>
        <w:pStyle w:val="null3"/>
        <w:jc w:val="center"/>
        <w:outlineLvl w:val="2"/>
      </w:pPr>
      <w:r>
        <w:rPr>
          <w:sz w:val="28"/>
          <w:b/>
        </w:rPr>
        <w:t>三、招标文件规定的价格扣除证明材料（若有）</w:t>
      </w:r>
    </w:p>
    <w:p>
      <w:pPr>
        <w:pStyle w:val="null3"/>
        <w:jc w:val="center"/>
        <w:outlineLvl w:val="3"/>
      </w:pPr>
      <w:r>
        <w:rPr>
          <w:sz w:val="24"/>
          <w:b/>
        </w:rPr>
        <w:t>三-1优先类节能产品、环境标志产品价格扣除证明材料（若有）</w:t>
      </w:r>
    </w:p>
    <w:p>
      <w:pPr>
        <w:pStyle w:val="null3"/>
        <w:jc w:val="center"/>
        <w:outlineLvl w:val="3"/>
      </w:pPr>
      <w:r>
        <w:rPr>
          <w:sz w:val="24"/>
          <w:b/>
        </w:rPr>
        <w:t>三-1-①优先类节能产品、环境标志产品统计表（价格扣除适用，若有）</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产品名称</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pPr>
              <w:pStyle w:val="null3"/>
              <w:jc w:val="left"/>
            </w:pPr>
            <w:r>
              <w:rPr/>
              <w:t>供应商自行填写种类，并上传证明附件以便评审查看</w:t>
            </w: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r>
      <w:tr>
        <w:tc>
          <w:tcPr>
            <w:tcW w:type="dxa" w:w="1187"/>
          </w:tcPr>
          <w:p>
            <w:pPr>
              <w:pStyle w:val="null3"/>
              <w:jc w:val="left"/>
            </w:pPr>
            <w:r>
              <w:rPr/>
              <w:t>备注</w:t>
            </w:r>
          </w:p>
        </w:tc>
        <w:tc>
          <w:tcPr>
            <w:tcW w:type="dxa" w:w="3561"/>
            <w:gridSpan w:val="3"/>
          </w:tcPr>
          <w:p>
            <w:pPr>
              <w:pStyle w:val="null3"/>
              <w:jc w:val="left"/>
            </w:pPr>
          </w:p>
        </w:tc>
      </w:tr>
    </w:tbl>
    <w:p>
      <w:pPr>
        <w:pStyle w:val="null3"/>
        <w:jc w:val="left"/>
      </w:pPr>
      <w:r>
        <w:rPr/>
        <w:t>※注意：</w:t>
      </w:r>
    </w:p>
    <w:p>
      <w:pPr>
        <w:pStyle w:val="null3"/>
        <w:ind w:firstLine="480"/>
        <w:jc w:val="left"/>
      </w:pPr>
      <w:r>
        <w:rPr/>
        <w:t>1、对节能、环境标志产品计算价格扣除时，只依据电子投标（响应）文件“投标（响应）报价明细表”以及“优先类节能产品、环境标志产品证明材料（价格扣除适用，若有）。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3.3投标人(供应商)按照采购文件要求认真统计、计算。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三-1-②优先类节能产品、环境标志产品证明材料（价格扣除适用，若有）</w:t>
      </w:r>
    </w:p>
    <w:p>
      <w:pPr>
        <w:pStyle w:val="null3"/>
        <w:jc w:val="center"/>
        <w:outlineLvl w:val="3"/>
      </w:pPr>
      <w:r>
        <w:rPr>
          <w:sz w:val="24"/>
          <w:b/>
        </w:rPr>
        <w:t>三-2小型、微型企业产品等价格扣除证明材料（若有）</w:t>
      </w:r>
    </w:p>
    <w:p>
      <w:pPr>
        <w:pStyle w:val="null3"/>
        <w:jc w:val="center"/>
        <w:outlineLvl w:val="3"/>
      </w:pPr>
      <w:r>
        <w:rPr>
          <w:sz w:val="24"/>
          <w:b/>
        </w:rPr>
        <w:t>三-2-①中小企业声明函（价格扣除适用，若有）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sz w:val="24"/>
          <w:b/>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sz w:val="28"/>
          <w:b/>
        </w:rPr>
        <w:t>封面格式(技术商务部分)</w:t>
      </w:r>
    </w:p>
    <w:p>
      <w:pPr>
        <w:pStyle w:val="null3"/>
        <w:jc w:val="center"/>
        <w:outlineLvl w:val="0"/>
      </w:pPr>
      <w:r>
        <w:rPr>
          <w:sz w:val="48"/>
          <w:b/>
        </w:rPr>
        <w:t>福建省政府采购投标文件</w:t>
      </w:r>
    </w:p>
    <w:p>
      <w:pPr>
        <w:pStyle w:val="null3"/>
        <w:jc w:val="center"/>
        <w:outlineLvl w:val="0"/>
      </w:pPr>
      <w:r>
        <w:rPr>
          <w:sz w:val="48"/>
          <w:b/>
        </w:rPr>
        <w:t>（技术商务部分）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sz w:val="28"/>
          <w:b/>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