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2024年度城市公交智能管理与服务平台项目运行维护服务项目</w:t>
      </w:r>
    </w:p>
    <w:p>
      <w:pPr>
        <w:pStyle w:val="null3"/>
        <w:jc w:val="center"/>
        <w:outlineLvl w:val="2"/>
      </w:pPr>
      <w:r>
        <w:rPr>
          <w:b/>
          <w:sz w:val="28"/>
        </w:rPr>
        <w:t>备案编号：</w:t>
      </w:r>
      <w:r>
        <w:rPr>
          <w:b/>
          <w:sz w:val="28"/>
        </w:rPr>
        <w:t>CGXM-2024-350001-05268[2024]02106</w:t>
      </w:r>
    </w:p>
    <w:p>
      <w:pPr>
        <w:pStyle w:val="null3"/>
        <w:jc w:val="center"/>
        <w:outlineLvl w:val="2"/>
      </w:pPr>
      <w:r>
        <w:rPr>
          <w:b/>
          <w:sz w:val="28"/>
        </w:rPr>
        <w:t>项目编号：</w:t>
      </w:r>
      <w:r>
        <w:rPr>
          <w:b/>
          <w:sz w:val="28"/>
        </w:rPr>
        <w:t>[350001]HYG[GK]2024006</w:t>
      </w:r>
    </w:p>
    <w:p>
      <w:pPr>
        <w:pStyle w:val="null3"/>
        <w:jc w:val="center"/>
        <w:outlineLvl w:val="2"/>
      </w:pPr>
      <w:r>
        <w:rPr>
          <w:b/>
          <w:sz w:val="28"/>
        </w:rPr>
        <w:t>采购人：</w:t>
      </w:r>
      <w:r>
        <w:rPr>
          <w:b/>
          <w:sz w:val="28"/>
        </w:rPr>
        <w:t>福建省交通信息通信与应急处置中心</w:t>
      </w:r>
    </w:p>
    <w:p>
      <w:pPr>
        <w:pStyle w:val="null3"/>
        <w:jc w:val="center"/>
        <w:outlineLvl w:val="2"/>
      </w:pPr>
      <w:r>
        <w:rPr>
          <w:b/>
          <w:sz w:val="28"/>
        </w:rPr>
        <w:t>代理机构：</w:t>
      </w:r>
      <w:r>
        <w:rPr>
          <w:b/>
          <w:sz w:val="28"/>
        </w:rPr>
        <w:t>中宏源建设管理有限公司</w:t>
      </w:r>
    </w:p>
    <w:p>
      <w:pPr>
        <w:pStyle w:val="null3"/>
        <w:jc w:val="center"/>
        <w:outlineLvl w:val="2"/>
      </w:pPr>
      <w:r>
        <w:rPr>
          <w:b/>
          <w:sz w:val="28"/>
        </w:rPr>
        <w:t>编制时间</w:t>
      </w:r>
      <w:r>
        <w:rPr>
          <w:b/>
          <w:sz w:val="28"/>
        </w:rPr>
        <w:t>：</w:t>
      </w:r>
      <w:r>
        <w:rPr>
          <w:b/>
          <w:sz w:val="28"/>
        </w:rPr>
        <w:t>2024年06月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中宏源建设管理有限公司</w:t>
      </w:r>
      <w:r>
        <w:rPr/>
        <w:t xml:space="preserve"> 采用公开招标方式组织 </w:t>
      </w:r>
      <w:r>
        <w:rPr/>
        <w:t>2024年度城市公交智能管理与服务平台项目运行维护服务项目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CGXM-2024-350001-05268[2024]02106</w:t>
      </w:r>
    </w:p>
    <w:p>
      <w:pPr>
        <w:pStyle w:val="null3"/>
        <w:ind w:firstLine="480"/>
        <w:jc w:val="left"/>
        <w:outlineLvl w:val="2"/>
      </w:pPr>
      <w:r>
        <w:rPr>
          <w:b/>
          <w:sz w:val="28"/>
        </w:rPr>
        <w:t>2、项目编号</w:t>
      </w:r>
      <w:r>
        <w:rPr>
          <w:b/>
          <w:sz w:val="28"/>
        </w:rPr>
        <w:t>：</w:t>
      </w:r>
      <w:r>
        <w:rPr>
          <w:b/>
          <w:sz w:val="28"/>
        </w:rPr>
        <w:t>[350001]HYG[GK]2024006</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福建省交通信息通信与应急处置中心</w:t>
      </w:r>
    </w:p>
    <w:p>
      <w:pPr>
        <w:pStyle w:val="null3"/>
        <w:ind w:firstLine="960"/>
        <w:jc w:val="left"/>
      </w:pPr>
      <w:r>
        <w:rPr/>
        <w:t xml:space="preserve"> 地址： </w:t>
      </w:r>
      <w:r>
        <w:rPr/>
        <w:t>福建省福州市鼓楼区东水路18号交通综合大楼28楼</w:t>
      </w:r>
    </w:p>
    <w:p>
      <w:pPr>
        <w:pStyle w:val="null3"/>
        <w:jc w:val="left"/>
      </w:pPr>
      <w:r>
        <w:rPr/>
        <w:t xml:space="preserve"> 邮编： </w:t>
      </w:r>
      <w:r>
        <w:rPr/>
        <w:t>350000</w:t>
      </w:r>
    </w:p>
    <w:p>
      <w:pPr>
        <w:pStyle w:val="null3"/>
        <w:jc w:val="left"/>
      </w:pPr>
      <w:r>
        <w:rPr/>
        <w:t xml:space="preserve"> 联系人： </w:t>
      </w:r>
      <w:r>
        <w:rPr/>
        <w:t>周显江</w:t>
      </w:r>
    </w:p>
    <w:p>
      <w:pPr>
        <w:pStyle w:val="null3"/>
        <w:jc w:val="left"/>
      </w:pPr>
      <w:r>
        <w:rPr/>
        <w:t xml:space="preserve"> 联系电话： </w:t>
      </w:r>
      <w:r>
        <w:rPr/>
        <w:t>0591-87077047</w:t>
      </w:r>
    </w:p>
    <w:p>
      <w:pPr>
        <w:pStyle w:val="null3"/>
        <w:ind w:firstLine="480"/>
        <w:jc w:val="left"/>
        <w:outlineLvl w:val="2"/>
      </w:pPr>
      <w:r>
        <w:rPr>
          <w:b/>
          <w:sz w:val="28"/>
        </w:rPr>
        <w:t>12、代理机构</w:t>
      </w:r>
      <w:r>
        <w:rPr>
          <w:b/>
          <w:sz w:val="28"/>
        </w:rPr>
        <w:t>：</w:t>
      </w:r>
      <w:r>
        <w:rPr>
          <w:b/>
          <w:sz w:val="28"/>
        </w:rPr>
        <w:t>中宏源建设管理有限公司</w:t>
      </w:r>
    </w:p>
    <w:p>
      <w:pPr>
        <w:pStyle w:val="null3"/>
        <w:ind w:firstLine="960"/>
        <w:jc w:val="both"/>
      </w:pPr>
      <w:r>
        <w:rPr/>
        <w:t xml:space="preserve"> 地址： </w:t>
      </w:r>
      <w:r>
        <w:rPr/>
        <w:t>前横路169号盛辉物流集团总部大楼05层A88</w:t>
      </w:r>
    </w:p>
    <w:p>
      <w:pPr>
        <w:pStyle w:val="null3"/>
        <w:jc w:val="both"/>
      </w:pPr>
      <w:r>
        <w:rPr/>
        <w:t xml:space="preserve"> 邮编： </w:t>
      </w:r>
      <w:r>
        <w:rPr/>
        <w:t>350000</w:t>
      </w:r>
    </w:p>
    <w:p>
      <w:pPr>
        <w:pStyle w:val="null3"/>
        <w:jc w:val="both"/>
      </w:pPr>
      <w:r>
        <w:rPr/>
        <w:t xml:space="preserve"> 联系人： </w:t>
      </w:r>
      <w:r>
        <w:rPr/>
        <w:t>陈明铭、陈鑫、孙炜</w:t>
      </w:r>
    </w:p>
    <w:p>
      <w:pPr>
        <w:pStyle w:val="null3"/>
        <w:jc w:val="both"/>
      </w:pPr>
      <w:r>
        <w:rPr/>
        <w:t xml:space="preserve"> 联系电话： </w:t>
      </w:r>
      <w:r>
        <w:rPr/>
        <w:t>0591-83593692</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中宏源建设管理有限公司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202,000.00</w:t>
      </w:r>
    </w:p>
    <w:p>
      <w:pPr>
        <w:pStyle w:val="null3"/>
        <w:jc w:val="left"/>
      </w:pPr>
      <w:r>
        <w:rPr/>
        <w:t>采购包最高限价（元）: 202,000.00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2024年度城市公交智能管理与服务平台项目运行维护服务项目</w:t>
            </w:r>
          </w:p>
        </w:tc>
        <w:tc>
          <w:tcPr>
            <w:tcW w:type="dxa" w:w="1187"/>
          </w:tcPr>
          <w:p>
            <w:pPr>
              <w:pStyle w:val="null3"/>
              <w:jc w:val="right"/>
            </w:pPr>
            <w:r>
              <w:rPr/>
              <w:t>1.00</w:t>
            </w:r>
          </w:p>
        </w:tc>
        <w:tc>
          <w:tcPr>
            <w:tcW w:type="dxa" w:w="1187"/>
          </w:tcPr>
          <w:p>
            <w:pPr>
              <w:pStyle w:val="null3"/>
              <w:jc w:val="right"/>
            </w:pPr>
            <w:r>
              <w:rPr/>
              <w:t>202,000.00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中宏源建设管理有限公司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代理服务费以采购包的成交金额为基数按差额定率累进法计算后计取（收费费率标准：100万元以下：1.5%），成交人应在领取成交通知书的同时一次性缴清。代理服务费缴交银行帐号：开户银行：中国银行股份有限公司福州市晋安支行帐户名称：中宏源建设管理有限公司帐 号：415679730608</w:t>
            </w:r>
          </w:p>
          <w:p>
            <w:pPr>
              <w:pStyle w:val="null3"/>
              <w:jc w:val="left"/>
            </w:pPr>
            <w:r>
              <w:rPr/>
              <w:t xml:space="preserve"> (2)其他：</w:t>
            </w:r>
          </w:p>
          <w:p>
            <w:pPr>
              <w:pStyle w:val="null3"/>
              <w:jc w:val="left"/>
            </w:pPr>
            <w:r>
              <w:rPr/>
              <w:t>无</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中宏源建设管理有限公司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中宏源建设管理有限公司</w:t>
      </w:r>
      <w:r>
        <w:rPr/>
        <w:t xml:space="preserve"> 将在投标截止时间至少15个日历日前，在招标文件载明的指定媒体以更正公告的形式发布澄清或修改的内容。不足15个日历日的， </w:t>
      </w:r>
      <w:r>
        <w:rPr/>
        <w:t>中宏源建设管理有限公司</w:t>
      </w:r>
      <w:r>
        <w:rPr/>
        <w:t xml:space="preserve"> 将顺延投标截止时间及开标时间， </w:t>
      </w:r>
      <w:r>
        <w:rPr/>
        <w:t>中宏源建设管理有限公司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中宏源建设管理有限公司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中宏源建设管理有限公司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中宏源建设管理有限公司</w:t>
      </w:r>
      <w:r>
        <w:rPr/>
        <w:t xml:space="preserve"> 可终止招标并发布终止公告。</w:t>
      </w:r>
    </w:p>
    <w:p>
      <w:pPr>
        <w:pStyle w:val="null3"/>
        <w:ind w:firstLine="480"/>
        <w:jc w:val="both"/>
      </w:pPr>
      <w:r>
        <w:rPr/>
        <w:t xml:space="preserve">8.2终止公告作为 </w:t>
      </w:r>
      <w:r>
        <w:rPr/>
        <w:t>中宏源建设管理有限公司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中宏源建设管理有限公司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中宏源建设管理有限公司</w:t>
      </w:r>
      <w:r>
        <w:rPr/>
        <w:t xml:space="preserve"> 可于投标有效期届满之前书面要求投标人延长投标有效期，投标人应在 </w:t>
      </w:r>
      <w:r>
        <w:rPr/>
        <w:t>中宏源建设管理有限公司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中宏源建设管理有限公司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中宏源建设管理有限公司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中宏源建设管理有限公司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中宏源建设管理有限公司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中宏源建设管理有限公司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中宏源建设管理有限公司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中宏源建设管理有限公司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中宏源建设管理有限公司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中宏源建设管理有限公司</w:t>
      </w:r>
      <w:r>
        <w:rPr/>
        <w:t xml:space="preserve"> 提出询问， </w:t>
      </w:r>
      <w:r>
        <w:rPr/>
        <w:t>中宏源建设管理有限公司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中宏源建设管理有限公司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中宏源建设管理有限公司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由中宏源建设管理有限公司派出的工作人员至少1人，</w:t>
      </w:r>
      <w:r>
        <w:rPr/>
        <w:t>其余1人可为采购人代表或中宏源建设管理有限公司的工作人员。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中宏源建设管理有限公司</w:t>
      </w:r>
      <w:r>
        <w:rPr/>
        <w:t xml:space="preserve"> 统一对外发布。</w:t>
      </w:r>
    </w:p>
    <w:p>
      <w:pPr>
        <w:pStyle w:val="null3"/>
        <w:ind w:firstLine="480"/>
        <w:jc w:val="both"/>
      </w:pPr>
      <w:r>
        <w:rPr/>
        <w:t xml:space="preserve">3、资格审查合格的投标人不足三家的，不进行评标。同时，本次采购活动结束， </w:t>
      </w:r>
      <w:r>
        <w:rPr/>
        <w:t>中宏源建设管理有限公司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中宏源建设管理有限公司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中宏源建设管理有限公司</w:t>
      </w:r>
      <w:r>
        <w:rPr/>
        <w:t xml:space="preserve"> 统一对外发布。</w:t>
      </w:r>
    </w:p>
    <w:p>
      <w:pPr>
        <w:pStyle w:val="null3"/>
        <w:ind w:firstLine="480"/>
        <w:jc w:val="both"/>
      </w:pPr>
      <w:r>
        <w:rPr/>
        <w:t xml:space="preserve">②对 </w:t>
      </w:r>
      <w:r>
        <w:rPr/>
        <w:t>中宏源建设管理有限公司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投标人响应招标文件第五章“二、技术和服务要求”中标注“★”号的内容出现负偏离的按无效标处理。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投标人响应招标文件第五章“三、商务条件”中标注“★”号的内容出现负偏离的按无效标处理。</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价格项（F1×A1）满分为16.00分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技术项（F2×A2）满分为66.00分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投标文件响应情况</w:t>
            </w:r>
          </w:p>
        </w:tc>
        <w:tc>
          <w:tcPr>
            <w:tcW w:type="dxa" w:w="831"/>
          </w:tcPr>
          <w:p>
            <w:pPr>
              <w:pStyle w:val="null3"/>
              <w:jc w:val="right"/>
            </w:pPr>
            <w:r>
              <w:rPr/>
              <w:t>39.00</w:t>
            </w:r>
          </w:p>
        </w:tc>
        <w:tc>
          <w:tcPr>
            <w:tcW w:type="dxa" w:w="4153"/>
          </w:tcPr>
          <w:p>
            <w:pPr>
              <w:pStyle w:val="null3"/>
              <w:jc w:val="both"/>
            </w:pPr>
            <w:r>
              <w:rPr/>
              <w:t>根据各投标人所提供针对第五章招标内容及要求中“二、技术和服务要求”的响应情况，完全响应招标文件要求的得39分，带“★”的技术指标（共3项）为关键技术条款，不满足按无效标处理。不带“★”号的技术指标项13项，每负偏离一项扣3分，扣完为止。正偏离不加分。</w:t>
            </w:r>
          </w:p>
        </w:tc>
      </w:tr>
      <w:tr>
        <w:tc>
          <w:tcPr>
            <w:tcW w:type="dxa" w:w="3322"/>
          </w:tcPr>
          <w:p>
            <w:pPr>
              <w:pStyle w:val="null3"/>
              <w:jc w:val="both"/>
            </w:pPr>
            <w:r>
              <w:rPr/>
              <w:t>整体方案</w:t>
            </w:r>
          </w:p>
        </w:tc>
        <w:tc>
          <w:tcPr>
            <w:tcW w:type="dxa" w:w="831"/>
          </w:tcPr>
          <w:p>
            <w:pPr>
              <w:pStyle w:val="null3"/>
              <w:jc w:val="right"/>
            </w:pPr>
            <w:r>
              <w:rPr/>
              <w:t>3.00</w:t>
            </w:r>
          </w:p>
        </w:tc>
        <w:tc>
          <w:tcPr>
            <w:tcW w:type="dxa" w:w="4153"/>
          </w:tcPr>
          <w:p>
            <w:pPr>
              <w:pStyle w:val="null3"/>
              <w:jc w:val="both"/>
            </w:pPr>
            <w:r>
              <w:rPr/>
              <w:t>评标委员会根据投标人提供的整体方案，能否详细说明项目的系统功能运行维护需求、数据库维护和备份需求、数据接口运维需求、安全保障服务需求系统功能升级需求及日常巡检工作需求等进行评议，整体构架合理、结构清晰、逻辑性强的得3分，整体构架较合理、结构较清晰、逻辑性较强的得2分，整体构架一般、结构不清晰、逻辑性较差的得1分，未应答的不得分。（满分3分）</w:t>
            </w:r>
          </w:p>
        </w:tc>
      </w:tr>
      <w:tr>
        <w:tc>
          <w:tcPr>
            <w:tcW w:type="dxa" w:w="3322"/>
          </w:tcPr>
          <w:p>
            <w:pPr>
              <w:pStyle w:val="null3"/>
              <w:jc w:val="both"/>
            </w:pPr>
            <w:r>
              <w:rPr/>
              <w:t>安全保障方案</w:t>
            </w:r>
          </w:p>
        </w:tc>
        <w:tc>
          <w:tcPr>
            <w:tcW w:type="dxa" w:w="831"/>
          </w:tcPr>
          <w:p>
            <w:pPr>
              <w:pStyle w:val="null3"/>
              <w:jc w:val="right"/>
            </w:pPr>
            <w:r>
              <w:rPr/>
              <w:t>3.00</w:t>
            </w:r>
          </w:p>
        </w:tc>
        <w:tc>
          <w:tcPr>
            <w:tcW w:type="dxa" w:w="4153"/>
          </w:tcPr>
          <w:p>
            <w:pPr>
              <w:pStyle w:val="null3"/>
              <w:jc w:val="both"/>
            </w:pPr>
            <w:r>
              <w:rPr/>
              <w:t>评标委员会根据投标人提供的对系统安全服务、安全测评、安全补丁等安全保障方案进行评议。方案完整、科学合理、措施得力的得3分；方案较完整、较科学合理、措施较得力的得2分；方案完整性、科学性、合理性、措施一般的得1分；方案不完整、不科学、安排不合理、措施不得力的不得分或未提供的不得分。（满分3分）</w:t>
            </w:r>
          </w:p>
        </w:tc>
      </w:tr>
      <w:tr>
        <w:tc>
          <w:tcPr>
            <w:tcW w:type="dxa" w:w="3322"/>
          </w:tcPr>
          <w:p>
            <w:pPr>
              <w:pStyle w:val="null3"/>
              <w:jc w:val="both"/>
            </w:pPr>
            <w:r>
              <w:rPr/>
              <w:t>系统功能运维方案</w:t>
            </w:r>
          </w:p>
        </w:tc>
        <w:tc>
          <w:tcPr>
            <w:tcW w:type="dxa" w:w="831"/>
          </w:tcPr>
          <w:p>
            <w:pPr>
              <w:pStyle w:val="null3"/>
              <w:jc w:val="right"/>
            </w:pPr>
            <w:r>
              <w:rPr/>
              <w:t>3.00</w:t>
            </w:r>
          </w:p>
        </w:tc>
        <w:tc>
          <w:tcPr>
            <w:tcW w:type="dxa" w:w="4153"/>
          </w:tcPr>
          <w:p>
            <w:pPr>
              <w:pStyle w:val="null3"/>
              <w:jc w:val="both"/>
            </w:pPr>
            <w:r>
              <w:rPr/>
              <w:t>评标委员会根据投标人提供的省级城市公交智能管理与服务平台功能运维方案进行评议，方案应答内容详细可行，具有针对性的得3分，较为详细可行的得2分，不够详细，可行性一般的得1分，未应答的不得分。（满分3分）</w:t>
            </w:r>
          </w:p>
        </w:tc>
      </w:tr>
      <w:tr>
        <w:tc>
          <w:tcPr>
            <w:tcW w:type="dxa" w:w="3322"/>
          </w:tcPr>
          <w:p>
            <w:pPr>
              <w:pStyle w:val="null3"/>
              <w:jc w:val="both"/>
            </w:pPr>
            <w:r>
              <w:rPr/>
              <w:t>运维服务方式</w:t>
            </w:r>
          </w:p>
        </w:tc>
        <w:tc>
          <w:tcPr>
            <w:tcW w:type="dxa" w:w="831"/>
          </w:tcPr>
          <w:p>
            <w:pPr>
              <w:pStyle w:val="null3"/>
              <w:jc w:val="right"/>
            </w:pPr>
            <w:r>
              <w:rPr/>
              <w:t>3.00</w:t>
            </w:r>
          </w:p>
        </w:tc>
        <w:tc>
          <w:tcPr>
            <w:tcW w:type="dxa" w:w="4153"/>
          </w:tcPr>
          <w:p>
            <w:pPr>
              <w:pStyle w:val="null3"/>
              <w:jc w:val="both"/>
            </w:pPr>
            <w:r>
              <w:rPr/>
              <w:t>评标委员会根据投标人提供的运维服务方式（驻场服务、电话咨询、远程服务、临时现场服务、技术会商服务）情况进行评议，方案详细可行，具有针对性的得3分，较详细可行的得2分，不够详细，可行性一般的得1分，未应答的不得分。（满分3分）</w:t>
            </w:r>
          </w:p>
        </w:tc>
      </w:tr>
      <w:tr>
        <w:tc>
          <w:tcPr>
            <w:tcW w:type="dxa" w:w="3322"/>
          </w:tcPr>
          <w:p>
            <w:pPr>
              <w:pStyle w:val="null3"/>
              <w:jc w:val="both"/>
            </w:pPr>
            <w:r>
              <w:rPr/>
              <w:t>运维服务流程</w:t>
            </w:r>
          </w:p>
        </w:tc>
        <w:tc>
          <w:tcPr>
            <w:tcW w:type="dxa" w:w="831"/>
          </w:tcPr>
          <w:p>
            <w:pPr>
              <w:pStyle w:val="null3"/>
              <w:jc w:val="right"/>
            </w:pPr>
            <w:r>
              <w:rPr/>
              <w:t>3.00</w:t>
            </w:r>
          </w:p>
        </w:tc>
        <w:tc>
          <w:tcPr>
            <w:tcW w:type="dxa" w:w="4153"/>
          </w:tcPr>
          <w:p>
            <w:pPr>
              <w:pStyle w:val="null3"/>
              <w:jc w:val="both"/>
            </w:pPr>
            <w:r>
              <w:rPr/>
              <w:t>评标委员会根据投标人提供的运维服务流程进行评议，流程合理可行，具有针对性的得3分，较合理可行的得2分，不够合理，可行性一般的得1分，未应答的不得分。（满分3分）</w:t>
            </w:r>
          </w:p>
        </w:tc>
      </w:tr>
      <w:tr>
        <w:tc>
          <w:tcPr>
            <w:tcW w:type="dxa" w:w="3322"/>
          </w:tcPr>
          <w:p>
            <w:pPr>
              <w:pStyle w:val="null3"/>
              <w:jc w:val="both"/>
            </w:pPr>
            <w:r>
              <w:rPr/>
              <w:t>应急服务方案</w:t>
            </w:r>
          </w:p>
        </w:tc>
        <w:tc>
          <w:tcPr>
            <w:tcW w:type="dxa" w:w="831"/>
          </w:tcPr>
          <w:p>
            <w:pPr>
              <w:pStyle w:val="null3"/>
              <w:jc w:val="right"/>
            </w:pPr>
            <w:r>
              <w:rPr/>
              <w:t>3.00</w:t>
            </w:r>
          </w:p>
        </w:tc>
        <w:tc>
          <w:tcPr>
            <w:tcW w:type="dxa" w:w="4153"/>
          </w:tcPr>
          <w:p>
            <w:pPr>
              <w:pStyle w:val="null3"/>
              <w:jc w:val="both"/>
            </w:pPr>
            <w:r>
              <w:rPr/>
              <w:t>评标委员会根据投标人提供的应急服务方案情况进行评议，方案详细可行，具有针对性的得3分，较详细可行的得2分，不够详细，可行性一般的得1分，未应答的不得分。（满分3分）</w:t>
            </w:r>
          </w:p>
        </w:tc>
      </w:tr>
      <w:tr>
        <w:tc>
          <w:tcPr>
            <w:tcW w:type="dxa" w:w="3322"/>
          </w:tcPr>
          <w:p>
            <w:pPr>
              <w:pStyle w:val="null3"/>
              <w:jc w:val="both"/>
            </w:pPr>
            <w:r>
              <w:rPr/>
              <w:t>分级响应方案</w:t>
            </w:r>
          </w:p>
        </w:tc>
        <w:tc>
          <w:tcPr>
            <w:tcW w:type="dxa" w:w="831"/>
          </w:tcPr>
          <w:p>
            <w:pPr>
              <w:pStyle w:val="null3"/>
              <w:jc w:val="right"/>
            </w:pPr>
            <w:r>
              <w:rPr/>
              <w:t>3.00</w:t>
            </w:r>
          </w:p>
        </w:tc>
        <w:tc>
          <w:tcPr>
            <w:tcW w:type="dxa" w:w="4153"/>
          </w:tcPr>
          <w:p>
            <w:pPr>
              <w:pStyle w:val="null3"/>
              <w:jc w:val="both"/>
            </w:pPr>
            <w:r>
              <w:rPr/>
              <w:t>评标委员会根据投标人提供的分级响应方案进行评议，方案详细可行，具有针对性的得3分，较详细可行的得2分，不够详细，可行性一般的得1分，未应答的不得分。（满分3分）</w:t>
            </w:r>
          </w:p>
        </w:tc>
      </w:tr>
      <w:tr>
        <w:tc>
          <w:tcPr>
            <w:tcW w:type="dxa" w:w="3322"/>
          </w:tcPr>
          <w:p>
            <w:pPr>
              <w:pStyle w:val="null3"/>
              <w:jc w:val="both"/>
            </w:pPr>
            <w:r>
              <w:rPr/>
              <w:t>应急服务流程</w:t>
            </w:r>
          </w:p>
        </w:tc>
        <w:tc>
          <w:tcPr>
            <w:tcW w:type="dxa" w:w="831"/>
          </w:tcPr>
          <w:p>
            <w:pPr>
              <w:pStyle w:val="null3"/>
              <w:jc w:val="right"/>
            </w:pPr>
            <w:r>
              <w:rPr/>
              <w:t>3.00</w:t>
            </w:r>
          </w:p>
        </w:tc>
        <w:tc>
          <w:tcPr>
            <w:tcW w:type="dxa" w:w="4153"/>
          </w:tcPr>
          <w:p>
            <w:pPr>
              <w:pStyle w:val="null3"/>
              <w:jc w:val="both"/>
            </w:pPr>
            <w:r>
              <w:rPr/>
              <w:t>评标委员会根据投标人提供的应急服务流程进行评议，流程合理可行，具有针对性的得3分，较合理可行的得2分，不够合理，可行性一般的得1分，未应答的不得分。（满分3分）</w:t>
            </w:r>
          </w:p>
        </w:tc>
      </w:tr>
      <w:tr>
        <w:tc>
          <w:tcPr>
            <w:tcW w:type="dxa" w:w="3322"/>
          </w:tcPr>
          <w:p>
            <w:pPr>
              <w:pStyle w:val="null3"/>
              <w:jc w:val="both"/>
            </w:pPr>
            <w:r>
              <w:rPr/>
              <w:t>日常巡检工作的管理及保障方案</w:t>
            </w:r>
          </w:p>
        </w:tc>
        <w:tc>
          <w:tcPr>
            <w:tcW w:type="dxa" w:w="831"/>
          </w:tcPr>
          <w:p>
            <w:pPr>
              <w:pStyle w:val="null3"/>
              <w:jc w:val="right"/>
            </w:pPr>
            <w:r>
              <w:rPr/>
              <w:t>3.00</w:t>
            </w:r>
          </w:p>
        </w:tc>
        <w:tc>
          <w:tcPr>
            <w:tcW w:type="dxa" w:w="4153"/>
          </w:tcPr>
          <w:p>
            <w:pPr>
              <w:pStyle w:val="null3"/>
              <w:jc w:val="both"/>
            </w:pPr>
            <w:r>
              <w:rPr/>
              <w:t>评标委员会根据投标人提供的日常巡检工作的管理及保障方案进行评议，方案编制合理、可行性强的得3分；方案较合理、可行性较强的得2分；方案合理性一般、可行性一般的得1分；方案不合理、可行性差的或未提供的不得分。（满分3分）</w:t>
            </w:r>
          </w:p>
        </w:tc>
      </w:tr>
    </w:tbl>
    <w:p>
      <w:pPr>
        <w:pStyle w:val="null3"/>
        <w:jc w:val="both"/>
      </w:pPr>
      <w:r>
        <w:rPr/>
        <w:t>商务项（F3×A3）满分为18.00分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计算机软件著作权登记证书</w:t>
            </w:r>
          </w:p>
        </w:tc>
        <w:tc>
          <w:tcPr>
            <w:tcW w:type="dxa" w:w="831"/>
          </w:tcPr>
          <w:p>
            <w:pPr>
              <w:pStyle w:val="null3"/>
              <w:jc w:val="right"/>
            </w:pPr>
            <w:r>
              <w:rPr/>
              <w:t>3.00</w:t>
            </w:r>
          </w:p>
        </w:tc>
        <w:tc>
          <w:tcPr>
            <w:tcW w:type="dxa" w:w="4153"/>
          </w:tcPr>
          <w:p>
            <w:pPr>
              <w:pStyle w:val="null3"/>
              <w:jc w:val="both"/>
            </w:pPr>
            <w:r>
              <w:rPr/>
              <w:t>投标人提供近三年的国内交通运输数据、运维管理、信息管理等同类计算机软件著作权登记证书的，每提供一份得1分，最高得3分，未提供的不得分。 (投标人需提供计算机软件著作权登记证书，复印件须加盖投标人公章，原件备查)。</w:t>
            </w:r>
          </w:p>
        </w:tc>
      </w:tr>
      <w:tr>
        <w:tc>
          <w:tcPr>
            <w:tcW w:type="dxa" w:w="3322"/>
          </w:tcPr>
          <w:p>
            <w:pPr>
              <w:pStyle w:val="null3"/>
              <w:jc w:val="both"/>
            </w:pPr>
            <w:r>
              <w:rPr/>
              <w:t>业绩</w:t>
            </w:r>
          </w:p>
        </w:tc>
        <w:tc>
          <w:tcPr>
            <w:tcW w:type="dxa" w:w="831"/>
          </w:tcPr>
          <w:p>
            <w:pPr>
              <w:pStyle w:val="null3"/>
              <w:jc w:val="right"/>
            </w:pPr>
            <w:r>
              <w:rPr/>
              <w:t>3.00</w:t>
            </w:r>
          </w:p>
        </w:tc>
        <w:tc>
          <w:tcPr>
            <w:tcW w:type="dxa" w:w="4153"/>
          </w:tcPr>
          <w:p>
            <w:pPr>
              <w:pStyle w:val="null3"/>
              <w:jc w:val="both"/>
            </w:pPr>
            <w:r>
              <w:rPr/>
              <w:t>投标人提供自2021年1月1日年后至本次投标截止时间（日期以验收报告为准）止，投标人所完成的国内信息化项目（含运维）等相关的业绩情况，每提供1份单项业绩的得1分，最高得3分，未提供的不得分。(投标人须列表并提供该业绩项目的中标公告（提供相关网站中标公告的下载网页并注明网址）、中标通知书复印件、采购合同文本复印件，以及能够证明该业绩项目已经采购人验收合格的相关证明文件复印件，所有材料缺一不可，否则不得分。原件备查。)</w:t>
            </w:r>
          </w:p>
        </w:tc>
      </w:tr>
      <w:tr>
        <w:tc>
          <w:tcPr>
            <w:tcW w:type="dxa" w:w="3322"/>
          </w:tcPr>
          <w:p>
            <w:pPr>
              <w:pStyle w:val="null3"/>
              <w:jc w:val="both"/>
            </w:pPr>
            <w:r>
              <w:rPr/>
              <w:t>满意度评价</w:t>
            </w:r>
          </w:p>
        </w:tc>
        <w:tc>
          <w:tcPr>
            <w:tcW w:type="dxa" w:w="831"/>
          </w:tcPr>
          <w:p>
            <w:pPr>
              <w:pStyle w:val="null3"/>
              <w:jc w:val="right"/>
            </w:pPr>
            <w:r>
              <w:rPr/>
              <w:t>3.00</w:t>
            </w:r>
          </w:p>
        </w:tc>
        <w:tc>
          <w:tcPr>
            <w:tcW w:type="dxa" w:w="4153"/>
          </w:tcPr>
          <w:p>
            <w:pPr>
              <w:pStyle w:val="null3"/>
              <w:jc w:val="both"/>
            </w:pPr>
            <w:r>
              <w:rPr/>
              <w:t>投标人提供自2021年1月1日后起至投标截止时间止（以评价日期为准），由业主单位对投标人自身完成的的信息化项目（含运维）等相关的项目满意情况评价表，每提供一份评为优秀（90分-100分或评价为满意或好性质)的得1分，满分3分，未提供的不得分。 （供应商需提供由业主单位出具的满意意见证明材料和项目合同复印件，未提供齐全的不得分。商务评分项业绩、满意度评价提供同一项目的不重复得分。）</w:t>
            </w:r>
          </w:p>
        </w:tc>
      </w:tr>
      <w:tr>
        <w:tc>
          <w:tcPr>
            <w:tcW w:type="dxa" w:w="3322"/>
          </w:tcPr>
          <w:p>
            <w:pPr>
              <w:pStyle w:val="null3"/>
              <w:jc w:val="both"/>
            </w:pPr>
            <w:r>
              <w:rPr/>
              <w:t>项目组组长</w:t>
            </w:r>
          </w:p>
        </w:tc>
        <w:tc>
          <w:tcPr>
            <w:tcW w:type="dxa" w:w="831"/>
          </w:tcPr>
          <w:p>
            <w:pPr>
              <w:pStyle w:val="null3"/>
              <w:jc w:val="right"/>
            </w:pPr>
            <w:r>
              <w:rPr/>
              <w:t>3.00</w:t>
            </w:r>
          </w:p>
        </w:tc>
        <w:tc>
          <w:tcPr>
            <w:tcW w:type="dxa" w:w="4153"/>
          </w:tcPr>
          <w:p>
            <w:pPr>
              <w:pStyle w:val="null3"/>
              <w:jc w:val="both"/>
            </w:pPr>
            <w:r>
              <w:rPr/>
              <w:t>投标人提供的项目人员名单中，项目组组长具备国家行政主管部门颁发的信息系统项目管理师高级证书的得3分，具有国家行政主管部门颁发的计算机或电子工程相关专业中级工程师及以上资格证书的人员得2分，具有国家行政主管部门颁发的计算机或电子工程相关专业初级证书得1分，未提供的不得分。（项目组组长须为投标人本单位人员，投标人须提供人员证书，复印件加盖投标人公章，原件备查及该人员投标截止日前（不含投标截止日当月）近六个月内任一个月的社保证明材料并加盖投标人公章。）</w:t>
            </w:r>
          </w:p>
        </w:tc>
      </w:tr>
      <w:tr>
        <w:tc>
          <w:tcPr>
            <w:tcW w:type="dxa" w:w="3322"/>
          </w:tcPr>
          <w:p>
            <w:pPr>
              <w:pStyle w:val="null3"/>
              <w:jc w:val="both"/>
            </w:pPr>
            <w:r>
              <w:rPr/>
              <w:t>项目组人员</w:t>
            </w:r>
          </w:p>
        </w:tc>
        <w:tc>
          <w:tcPr>
            <w:tcW w:type="dxa" w:w="831"/>
          </w:tcPr>
          <w:p>
            <w:pPr>
              <w:pStyle w:val="null3"/>
              <w:jc w:val="right"/>
            </w:pPr>
            <w:r>
              <w:rPr/>
              <w:t>3.00</w:t>
            </w:r>
          </w:p>
        </w:tc>
        <w:tc>
          <w:tcPr>
            <w:tcW w:type="dxa" w:w="4153"/>
          </w:tcPr>
          <w:p>
            <w:pPr>
              <w:pStyle w:val="null3"/>
              <w:jc w:val="both"/>
            </w:pPr>
            <w:r>
              <w:rPr/>
              <w:t>投标人提供的项目组成员（不含项目组组长）中具有国家行政主管部门颁发的计算机或电子工程相关专业中级工程师及以上资格证书的人员,每提供1名得1.5分，最高3分，未提供的不得分。（项目组人员须为本单位人员，投标人须提供人员证书，复印件加盖投标人公章，原件备查及该人员投标截止之日前（不含投标截止日当月）近六个月内任一个月的社保证明材料并加盖投标人公章。）</w:t>
            </w:r>
          </w:p>
        </w:tc>
      </w:tr>
      <w:tr>
        <w:tc>
          <w:tcPr>
            <w:tcW w:type="dxa" w:w="3322"/>
          </w:tcPr>
          <w:p>
            <w:pPr>
              <w:pStyle w:val="null3"/>
              <w:jc w:val="both"/>
            </w:pPr>
            <w:r>
              <w:rPr/>
              <w:t>项目组人员</w:t>
            </w:r>
          </w:p>
        </w:tc>
        <w:tc>
          <w:tcPr>
            <w:tcW w:type="dxa" w:w="831"/>
          </w:tcPr>
          <w:p>
            <w:pPr>
              <w:pStyle w:val="null3"/>
              <w:jc w:val="right"/>
            </w:pPr>
            <w:r>
              <w:rPr/>
              <w:t>3.00</w:t>
            </w:r>
          </w:p>
        </w:tc>
        <w:tc>
          <w:tcPr>
            <w:tcW w:type="dxa" w:w="4153"/>
          </w:tcPr>
          <w:p>
            <w:pPr>
              <w:pStyle w:val="null3"/>
              <w:jc w:val="both"/>
            </w:pPr>
            <w:r>
              <w:rPr/>
              <w:t>投标人提供的项目组成员（不含项目组组长）须提供人员资质证书（注册信息安全专业人员（CISP）证书或信息安全保障人员工程师CISAW（认证方向：安全集成专业级或以上）证书或网络安全能力认证（CCSC）证书或交通运输网络安全专业人员（TCSP）证书复印件及该人员投标截止之日前（不含投标截止日当月）每提供1名得1.5分，最高得3分，未提供的不得分。（项目组人员须为本单位人员，投标人须提供人员证书，复印件加盖投标人公章，原件备查及该人员投标截止之日前（不含投标截止日当月）近六个月内任一个月的社保证明材料并加盖投标人公章。）</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仿宋" w:hAnsi="仿宋" w:cs="仿宋" w:eastAsia="仿宋"/>
          <w:b/>
          <w:sz w:val="24"/>
        </w:rPr>
        <w:t>（一）项目概述</w:t>
      </w:r>
    </w:p>
    <w:p>
      <w:pPr>
        <w:pStyle w:val="null3"/>
        <w:spacing w:before="150" w:after="150"/>
        <w:ind w:firstLine="480"/>
        <w:jc w:val="both"/>
      </w:pPr>
      <w:r>
        <w:rPr>
          <w:rFonts w:ascii="仿宋" w:hAnsi="仿宋" w:cs="仿宋" w:eastAsia="仿宋"/>
          <w:sz w:val="24"/>
        </w:rPr>
        <w:t>近年来为适应交通业务发展的需求，福建省交通信息通信与应急处置中心建设了一批应用系统，这些应用系统的投入使用，极大的推动了全省交通运输信息化建设的进程。随着对整体业务系统可用性的要求日益提高，系统运行保障和维护管理成为确保业务系统安全、稳定、可靠运行最有力的手段。</w:t>
      </w:r>
    </w:p>
    <w:p>
      <w:pPr>
        <w:pStyle w:val="null3"/>
        <w:spacing w:before="150" w:after="150"/>
        <w:ind w:firstLine="480"/>
        <w:jc w:val="both"/>
      </w:pPr>
      <w:r>
        <w:rPr>
          <w:rFonts w:ascii="仿宋" w:hAnsi="仿宋" w:cs="仿宋" w:eastAsia="仿宋"/>
          <w:sz w:val="24"/>
        </w:rPr>
        <w:t>随着时间推移，交通业务分布范围广、系统软件技术复杂，并且系统软件及设备要求全年不间断稳定运行，对参与运维单位资质和人员技术水平有较高要求，在当前有限的人力、物力资源下，为了保障和提高信息化服务质量，福建省交通信息通信与应急处置中心引入第三方维护的方法，将福建省城市公交智能管理与服务平台服务外包的方式，解决当前信息化保障服务各个方面日益增长的需求和有限的保障能力之间的矛盾，满足日常业务工作的需要，对项目故障做到早发现、早解决，提高本项目相关业务工作的保障能力，确保业务的高可用性，项目涉及的软、硬件系统进行全面的摸查并定期巡检，对软件故障和安全问题及时修复和加固，对硬件故障和损坏问题及时处理，提高系统稳定性。</w:t>
      </w:r>
    </w:p>
    <w:p>
      <w:pPr>
        <w:pStyle w:val="null3"/>
        <w:spacing w:before="150" w:after="150"/>
        <w:ind w:firstLine="480"/>
        <w:jc w:val="both"/>
      </w:pPr>
      <w:r>
        <w:rPr>
          <w:rFonts w:ascii="仿宋" w:hAnsi="仿宋" w:cs="仿宋" w:eastAsia="仿宋"/>
          <w:b/>
          <w:sz w:val="24"/>
        </w:rPr>
        <w:t>（二）项目现状</w:t>
      </w:r>
    </w:p>
    <w:p>
      <w:pPr>
        <w:pStyle w:val="null3"/>
        <w:spacing w:before="105" w:after="105"/>
        <w:ind w:firstLine="480"/>
        <w:jc w:val="both"/>
      </w:pPr>
      <w:r>
        <w:rPr>
          <w:rFonts w:ascii="仿宋" w:hAnsi="仿宋" w:cs="仿宋" w:eastAsia="仿宋"/>
          <w:b/>
          <w:sz w:val="24"/>
        </w:rPr>
        <w:t>1、福建省城市公交智能管理与服务平台现状</w:t>
      </w:r>
    </w:p>
    <w:p>
      <w:pPr>
        <w:pStyle w:val="null3"/>
        <w:ind w:firstLine="480"/>
        <w:jc w:val="both"/>
      </w:pPr>
      <w:r>
        <w:rPr>
          <w:rFonts w:ascii="仿宋" w:hAnsi="仿宋" w:cs="仿宋" w:eastAsia="仿宋"/>
          <w:sz w:val="24"/>
        </w:rPr>
        <w:t>福建省城市公交智能管理与服务平台在全省范围应用的公交智能化项目，此项目为落实省政府提出的《关于提升交通运输服务八条措施》，支撑福建省公交优先策略的智能化公交体系，全面推进城市公交智能化。围绕公交信息服务、公交行业统计、公交财政补贴监管、公交日常运营监测、城市公交服务水平评价、公交基础设施管理、公交线网优化与调整等提供全面信息支持。</w:t>
      </w:r>
    </w:p>
    <w:p>
      <w:pPr>
        <w:pStyle w:val="null3"/>
        <w:ind w:firstLine="480"/>
        <w:jc w:val="both"/>
      </w:pPr>
      <w:r>
        <w:drawing>
          <wp:inline distT="0" distR="0" distB="0" distL="0">
            <wp:extent cx="5274310" cy="598834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5988341"/>
                    </a:xfrm>
                    <a:prstGeom prst="rect">
                      <a:avLst/>
                    </a:prstGeom>
                  </pic:spPr>
                </pic:pic>
              </a:graphicData>
            </a:graphic>
          </wp:inline>
        </w:drawing>
      </w:r>
    </w:p>
    <w:p>
      <w:pPr>
        <w:pStyle w:val="null3"/>
        <w:ind w:firstLine="480"/>
        <w:jc w:val="both"/>
      </w:pPr>
      <w:r>
        <w:rPr>
          <w:rFonts w:ascii="仿宋" w:hAnsi="仿宋" w:cs="仿宋" w:eastAsia="仿宋"/>
          <w:sz w:val="24"/>
        </w:rPr>
        <w:t xml:space="preserve">        图</w:t>
      </w:r>
      <w:r>
        <w:rPr>
          <w:rFonts w:ascii="仿宋" w:hAnsi="仿宋" w:cs="仿宋" w:eastAsia="仿宋"/>
          <w:sz w:val="24"/>
        </w:rPr>
        <w:t>-1福建省城市公交智能管理与服务平台拓扑</w:t>
      </w:r>
    </w:p>
    <w:p>
      <w:pPr>
        <w:pStyle w:val="null3"/>
        <w:spacing w:before="105" w:after="105"/>
        <w:ind w:firstLine="482"/>
        <w:jc w:val="both"/>
      </w:pPr>
      <w:r>
        <w:rPr>
          <w:rFonts w:ascii="仿宋" w:hAnsi="仿宋" w:cs="仿宋" w:eastAsia="仿宋"/>
          <w:b/>
          <w:sz w:val="24"/>
        </w:rPr>
        <w:t>（三）需求分析</w:t>
      </w:r>
    </w:p>
    <w:p>
      <w:pPr>
        <w:pStyle w:val="null3"/>
        <w:spacing w:before="150" w:after="150"/>
        <w:ind w:left="420" w:firstLine="480"/>
        <w:jc w:val="both"/>
      </w:pPr>
      <w:r>
        <w:rPr>
          <w:rFonts w:ascii="仿宋" w:hAnsi="仿宋" w:cs="仿宋" w:eastAsia="仿宋"/>
          <w:b/>
          <w:sz w:val="24"/>
        </w:rPr>
        <w:t>1、功能运行维护需求</w:t>
      </w:r>
    </w:p>
    <w:p>
      <w:pPr>
        <w:pStyle w:val="null3"/>
        <w:spacing w:before="150" w:after="150"/>
        <w:ind w:firstLine="480"/>
        <w:jc w:val="both"/>
      </w:pPr>
      <w:r>
        <w:rPr>
          <w:rFonts w:ascii="仿宋" w:hAnsi="仿宋" w:cs="仿宋" w:eastAsia="仿宋"/>
          <w:sz w:val="24"/>
        </w:rPr>
        <w:t>通过日常驻点运行维护、远程技术支持服务、临时现场维护与应急运维服务等服</w:t>
      </w:r>
      <w:r>
        <w:rPr>
          <w:rFonts w:ascii="仿宋" w:hAnsi="仿宋" w:cs="仿宋" w:eastAsia="仿宋"/>
          <w:color w:val="000000"/>
          <w:sz w:val="24"/>
        </w:rPr>
        <w:t>务方式，对</w:t>
      </w:r>
      <w:r>
        <w:rPr>
          <w:rFonts w:ascii="仿宋" w:hAnsi="仿宋" w:cs="仿宋" w:eastAsia="仿宋"/>
          <w:sz w:val="24"/>
        </w:rPr>
        <w:t>福建省城市公交智能管理与服务平台（省级平台）</w:t>
      </w:r>
      <w:r>
        <w:rPr>
          <w:rFonts w:ascii="仿宋" w:hAnsi="仿宋" w:cs="仿宋" w:eastAsia="仿宋"/>
          <w:color w:val="000000"/>
          <w:sz w:val="24"/>
        </w:rPr>
        <w:t>进行改正性、适应性、完善性、预防性维护，满足日常业务工作的需要，同时，及时发现故障，分析原因、对故障进行分级处理，做到早发现、早解决，提高本项目相关业务工作的保障能力，确保业务的高可用性。</w:t>
      </w:r>
    </w:p>
    <w:p>
      <w:pPr>
        <w:pStyle w:val="null3"/>
        <w:spacing w:before="150" w:after="150"/>
        <w:ind w:left="420" w:firstLine="480"/>
        <w:jc w:val="both"/>
      </w:pPr>
      <w:r>
        <w:rPr>
          <w:rFonts w:ascii="仿宋" w:hAnsi="仿宋" w:cs="仿宋" w:eastAsia="仿宋"/>
          <w:b/>
          <w:color w:val="000000"/>
          <w:sz w:val="24"/>
        </w:rPr>
        <w:t>2、安全保障服务需求</w:t>
      </w:r>
    </w:p>
    <w:p>
      <w:pPr>
        <w:pStyle w:val="null3"/>
        <w:ind w:firstLine="480"/>
        <w:jc w:val="both"/>
      </w:pPr>
      <w:r>
        <w:rPr>
          <w:rFonts w:ascii="仿宋" w:hAnsi="仿宋" w:cs="仿宋" w:eastAsia="仿宋"/>
          <w:sz w:val="24"/>
        </w:rPr>
        <w:t>近年来随着互联网技术的迅速发展，黑客、计算机病毒等对业务系统安全带来极大的安全威胁。为保障业务系统正常运行，福建省城市公交智能管理与服务平台（省级平台）须根据项目单位安全管理部门的要求，对福建省城市公交智能管理与服务平台进行系统安全防护、安全补丁等维护。</w:t>
      </w:r>
    </w:p>
    <w:p>
      <w:pPr>
        <w:pStyle w:val="null3"/>
        <w:ind w:firstLine="482"/>
        <w:jc w:val="both"/>
      </w:pPr>
      <w:r>
        <w:rPr>
          <w:rFonts w:ascii="仿宋" w:hAnsi="仿宋" w:cs="仿宋" w:eastAsia="仿宋"/>
          <w:b/>
          <w:sz w:val="24"/>
        </w:rPr>
        <w:t>3、数据接口运维需求</w:t>
      </w:r>
    </w:p>
    <w:p>
      <w:pPr>
        <w:pStyle w:val="null3"/>
        <w:ind w:firstLine="480"/>
        <w:jc w:val="both"/>
      </w:pPr>
      <w:r>
        <w:rPr>
          <w:rFonts w:ascii="仿宋" w:hAnsi="仿宋" w:cs="仿宋" w:eastAsia="仿宋"/>
          <w:color w:val="000000"/>
          <w:sz w:val="24"/>
        </w:rPr>
        <w:t>本次运维项目需维护各系统之间的数据接口，保护各应用系统之间的信息资源的正常交换，确保不同应用系统数据的同步和交换通道的畅通。同时对编码规则、数据类型、数据传输约定、数据传输交换内容等进行标准化规定。</w:t>
      </w:r>
    </w:p>
    <w:p>
      <w:pPr>
        <w:pStyle w:val="null3"/>
        <w:spacing w:before="150" w:after="150"/>
        <w:ind w:left="420" w:firstLine="480"/>
        <w:jc w:val="both"/>
      </w:pPr>
      <w:r>
        <w:rPr>
          <w:rFonts w:ascii="仿宋" w:hAnsi="仿宋" w:cs="仿宋" w:eastAsia="仿宋"/>
          <w:b/>
          <w:sz w:val="24"/>
        </w:rPr>
        <w:t>4、数据库维护和备份需求</w:t>
      </w:r>
    </w:p>
    <w:p>
      <w:pPr>
        <w:pStyle w:val="null3"/>
        <w:ind w:firstLine="480"/>
        <w:jc w:val="both"/>
      </w:pPr>
      <w:r>
        <w:rPr>
          <w:rFonts w:ascii="仿宋" w:hAnsi="仿宋" w:cs="仿宋" w:eastAsia="仿宋"/>
          <w:color w:val="000000"/>
          <w:sz w:val="24"/>
        </w:rPr>
        <w:t>为确保应用系统快速响应用户操作和数据库数据的安全，需定期对运维系统的后台数据库进行数据库性能优化、数据库备份恢复、数据库日常管理等维护。</w:t>
      </w:r>
    </w:p>
    <w:p>
      <w:pPr>
        <w:pStyle w:val="null3"/>
        <w:ind w:firstLine="482"/>
        <w:jc w:val="both"/>
      </w:pPr>
      <w:r>
        <w:rPr>
          <w:rFonts w:ascii="仿宋" w:hAnsi="仿宋" w:cs="仿宋" w:eastAsia="仿宋"/>
          <w:b/>
          <w:sz w:val="24"/>
        </w:rPr>
        <w:t>5、系统优化升级需求</w:t>
      </w:r>
    </w:p>
    <w:p>
      <w:pPr>
        <w:pStyle w:val="null3"/>
        <w:ind w:firstLine="480"/>
        <w:jc w:val="both"/>
      </w:pPr>
      <w:r>
        <w:rPr>
          <w:rFonts w:ascii="仿宋" w:hAnsi="仿宋" w:cs="仿宋" w:eastAsia="仿宋"/>
          <w:color w:val="000000"/>
          <w:sz w:val="24"/>
        </w:rPr>
        <w:t>福建省城市公交智能管理与服务平台（省级平台）除日常运维外，还需根据采购人的要求，对平台进行优化升级工作。</w:t>
      </w:r>
    </w:p>
    <w:p>
      <w:pPr>
        <w:pStyle w:val="null3"/>
        <w:ind w:firstLine="480"/>
        <w:jc w:val="both"/>
        <w:outlineLvl w:val="2"/>
      </w:pPr>
      <w:r>
        <w:rPr>
          <w:b/>
          <w:sz w:val="28"/>
        </w:rPr>
        <w:t>二、技术和服务要求（以“★”标示的内容为不允许负偏离的实质性要求）</w:t>
      </w:r>
    </w:p>
    <w:p>
      <w:pPr>
        <w:pStyle w:val="null3"/>
        <w:jc w:val="left"/>
      </w:pPr>
      <w:r>
        <w:rPr>
          <w:rFonts w:ascii="仿宋" w:hAnsi="仿宋" w:cs="仿宋" w:eastAsia="仿宋"/>
          <w:b/>
          <w:sz w:val="24"/>
        </w:rPr>
        <w:t>（一）运维服务内容</w:t>
      </w:r>
    </w:p>
    <w:p>
      <w:pPr>
        <w:pStyle w:val="null3"/>
        <w:spacing w:before="105" w:after="105"/>
      </w:pPr>
      <w:r>
        <w:rPr>
          <w:rFonts w:ascii="仿宋" w:hAnsi="仿宋" w:cs="仿宋" w:eastAsia="仿宋"/>
          <w:b/>
          <w:sz w:val="24"/>
        </w:rPr>
        <w:t>★1、</w:t>
      </w:r>
      <w:r>
        <w:rPr>
          <w:rFonts w:ascii="仿宋" w:hAnsi="仿宋" w:cs="仿宋" w:eastAsia="仿宋"/>
          <w:b/>
          <w:sz w:val="27"/>
        </w:rPr>
        <w:t>福建省城市公交智能管理与服务平台运维服务内容</w:t>
      </w:r>
    </w:p>
    <w:p>
      <w:pPr>
        <w:pStyle w:val="null3"/>
        <w:spacing w:before="150" w:after="150"/>
        <w:ind w:firstLine="480"/>
      </w:pPr>
      <w:r>
        <w:rPr>
          <w:rFonts w:ascii="仿宋" w:hAnsi="仿宋" w:cs="仿宋" w:eastAsia="仿宋"/>
          <w:sz w:val="24"/>
        </w:rPr>
        <w:t>运维服务期内对省级城市公交平台的应用软件进行改正性、适应性、维护性、预防性维护，满足日常业务工作的需要，同时做到信息系统故障早发现、早解决，确保计算机系统、网络和应用的连续、可靠、安全运行，降低发生故障的可能性。对系统进行日常巡检、软件优化、安全风险修复、数据库进行维护，有效提高业务系统运行管理水平和服务保障能力。具体运维内容如表</w:t>
      </w:r>
      <w:r>
        <w:rPr>
          <w:rFonts w:ascii="仿宋" w:hAnsi="仿宋" w:cs="仿宋" w:eastAsia="仿宋"/>
          <w:sz w:val="24"/>
        </w:rPr>
        <w:t>2-1、表2-2</w:t>
      </w:r>
    </w:p>
    <w:p>
      <w:pPr>
        <w:pStyle w:val="null3"/>
        <w:jc w:val="center"/>
      </w:pPr>
      <w:r>
        <w:rPr>
          <w:rFonts w:ascii="仿宋" w:hAnsi="仿宋" w:cs="仿宋" w:eastAsia="仿宋"/>
        </w:rPr>
        <w:t>表</w:t>
      </w:r>
      <w:r>
        <w:rPr>
          <w:rFonts w:ascii="仿宋" w:hAnsi="仿宋" w:cs="仿宋" w:eastAsia="仿宋"/>
        </w:rPr>
        <w:t>2-1 福建省城市公交智能管理与服务平台运维内容表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764"/>
        <w:gridCol w:w="1109"/>
        <w:gridCol w:w="1124"/>
        <w:gridCol w:w="5277"/>
      </w:tblGrid>
      <w:tr>
        <w:tc>
          <w:tcPr>
            <w:tcW w:type="dxa" w:w="764"/>
            <w:tcBorders>
              <w:top w:val="double" w:color="000000" w:sz="8"/>
              <w:left w:val="double" w:color="000000" w:sz="8"/>
              <w:bottom w:val="single" w:color="000000" w:sz="8"/>
              <w:right w:val="single" w:color="000000" w:sz="8"/>
            </w:tcBorders>
            <w:shd w:fill="BFBFBF"/>
            <w:tcMar>
              <w:top w:type="dxa" w:w="0"/>
              <w:left w:type="dxa" w:w="105"/>
              <w:bottom w:type="dxa" w:w="0"/>
              <w:right w:type="dxa" w:w="105"/>
            </w:tcMar>
            <w:vAlign w:val="top"/>
          </w:tcPr>
          <w:p>
            <w:pPr>
              <w:pStyle w:val="null3"/>
              <w:jc w:val="center"/>
            </w:pPr>
            <w:r>
              <w:rPr>
                <w:rFonts w:ascii="仿宋" w:hAnsi="仿宋" w:cs="仿宋" w:eastAsia="仿宋"/>
                <w:b/>
                <w:color w:val="000000"/>
                <w:sz w:val="21"/>
              </w:rPr>
              <w:t>序号</w:t>
            </w:r>
          </w:p>
        </w:tc>
        <w:tc>
          <w:tcPr>
            <w:tcW w:type="dxa" w:w="1109"/>
            <w:tcBorders>
              <w:top w:val="double" w:color="000000" w:sz="8"/>
              <w:left w:val="none" w:color="000000" w:sz="4"/>
              <w:bottom w:val="single" w:color="000000" w:sz="8"/>
              <w:right w:val="single" w:color="000000" w:sz="8"/>
            </w:tcBorders>
            <w:shd w:fill="BFBFBF"/>
            <w:tcMar>
              <w:top w:type="dxa" w:w="0"/>
              <w:left w:type="dxa" w:w="105"/>
              <w:bottom w:type="dxa" w:w="0"/>
              <w:right w:type="dxa" w:w="105"/>
            </w:tcMar>
            <w:vAlign w:val="top"/>
          </w:tcPr>
          <w:p>
            <w:pPr>
              <w:pStyle w:val="null3"/>
              <w:jc w:val="center"/>
            </w:pPr>
            <w:r>
              <w:rPr>
                <w:rFonts w:ascii="仿宋" w:hAnsi="仿宋" w:cs="仿宋" w:eastAsia="仿宋"/>
                <w:b/>
                <w:color w:val="000000"/>
                <w:sz w:val="21"/>
              </w:rPr>
              <w:t>项目名称</w:t>
            </w:r>
          </w:p>
        </w:tc>
        <w:tc>
          <w:tcPr>
            <w:tcW w:type="dxa" w:w="1124"/>
            <w:tcBorders>
              <w:top w:val="double" w:color="000000" w:sz="8"/>
              <w:left w:val="none" w:color="000000" w:sz="4"/>
              <w:bottom w:val="single" w:color="000000" w:sz="8"/>
              <w:right w:val="single" w:color="000000" w:sz="8"/>
            </w:tcBorders>
            <w:shd w:fill="BFBFBF"/>
            <w:tcMar>
              <w:top w:type="dxa" w:w="0"/>
              <w:left w:type="dxa" w:w="105"/>
              <w:bottom w:type="dxa" w:w="0"/>
              <w:right w:type="dxa" w:w="105"/>
            </w:tcMar>
            <w:vAlign w:val="top"/>
          </w:tcPr>
          <w:p>
            <w:pPr>
              <w:pStyle w:val="null3"/>
              <w:jc w:val="center"/>
            </w:pPr>
            <w:r>
              <w:rPr>
                <w:rFonts w:ascii="仿宋" w:hAnsi="仿宋" w:cs="仿宋" w:eastAsia="仿宋"/>
                <w:b/>
                <w:color w:val="000000"/>
                <w:sz w:val="21"/>
              </w:rPr>
              <w:t>服务</w:t>
            </w:r>
          </w:p>
          <w:p>
            <w:pPr>
              <w:pStyle w:val="null3"/>
              <w:jc w:val="center"/>
            </w:pPr>
            <w:r>
              <w:rPr>
                <w:rFonts w:ascii="仿宋" w:hAnsi="仿宋" w:cs="仿宋" w:eastAsia="仿宋"/>
                <w:b/>
                <w:color w:val="000000"/>
                <w:sz w:val="21"/>
              </w:rPr>
              <w:t>项目</w:t>
            </w:r>
          </w:p>
        </w:tc>
        <w:tc>
          <w:tcPr>
            <w:tcW w:type="dxa" w:w="5277"/>
            <w:tcBorders>
              <w:top w:val="double" w:color="000000" w:sz="8"/>
              <w:left w:val="none" w:color="000000" w:sz="4"/>
              <w:bottom w:val="single" w:color="000000" w:sz="8"/>
              <w:right w:val="single" w:color="000000" w:sz="8"/>
            </w:tcBorders>
            <w:shd w:fill="BFBFBF"/>
            <w:tcMar>
              <w:top w:type="dxa" w:w="0"/>
              <w:left w:type="dxa" w:w="105"/>
              <w:bottom w:type="dxa" w:w="0"/>
              <w:right w:type="dxa" w:w="105"/>
            </w:tcMar>
            <w:vAlign w:val="top"/>
          </w:tcPr>
          <w:p>
            <w:pPr>
              <w:pStyle w:val="null3"/>
              <w:jc w:val="center"/>
            </w:pPr>
            <w:r>
              <w:rPr>
                <w:rFonts w:ascii="仿宋" w:hAnsi="仿宋" w:cs="仿宋" w:eastAsia="仿宋"/>
                <w:b/>
                <w:color w:val="000000"/>
                <w:sz w:val="21"/>
              </w:rPr>
              <w:t>维护内容说明</w:t>
            </w:r>
          </w:p>
        </w:tc>
      </w:tr>
      <w:tr>
        <w:tc>
          <w:tcPr>
            <w:tcW w:type="dxa" w:w="764"/>
            <w:vMerge w:val="restart"/>
            <w:tcBorders>
              <w:top w:val="none" w:color="000000" w:sz="4"/>
              <w:left w:val="doub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w:t>
            </w:r>
          </w:p>
        </w:tc>
        <w:tc>
          <w:tcPr>
            <w:tcW w:type="dxa" w:w="1109"/>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省城市公交智能管理与服务平台运维服务</w:t>
            </w:r>
          </w:p>
        </w:tc>
        <w:tc>
          <w:tcPr>
            <w:tcW w:type="dxa" w:w="11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 w:hAnsi="仿宋" w:cs="仿宋" w:eastAsia="仿宋"/>
                <w:color w:val="000000"/>
                <w:sz w:val="21"/>
              </w:rPr>
              <w:t>平台日常运维巡检</w:t>
            </w:r>
          </w:p>
        </w:tc>
        <w:tc>
          <w:tcPr>
            <w:tcW w:type="dxa" w:w="5277"/>
            <w:tcBorders>
              <w:top w:val="none" w:color="000000" w:sz="4"/>
              <w:left w:val="none" w:color="000000" w:sz="4"/>
              <w:bottom w:val="single" w:color="000000" w:sz="8"/>
              <w:right w:val="double" w:color="000000" w:sz="8"/>
            </w:tcBorders>
            <w:tcMar>
              <w:top w:type="dxa" w:w="0"/>
              <w:left w:type="dxa" w:w="105"/>
              <w:bottom w:type="dxa" w:w="0"/>
              <w:right w:type="dxa" w:w="105"/>
            </w:tcMar>
            <w:vAlign w:val="top"/>
          </w:tcPr>
          <w:p>
            <w:pPr>
              <w:pStyle w:val="null3"/>
              <w:jc w:val="both"/>
            </w:pPr>
            <w:r>
              <w:rPr>
                <w:rFonts w:ascii="仿宋" w:hAnsi="仿宋" w:cs="仿宋" w:eastAsia="仿宋"/>
                <w:color w:val="000000"/>
                <w:sz w:val="21"/>
              </w:rPr>
              <w:t>负责福建省城市公交智能管理与服务平台（省级平台）日常技术支持、故障排查等工作</w:t>
            </w:r>
          </w:p>
        </w:tc>
      </w:tr>
      <w:tr>
        <w:tc>
          <w:tcPr>
            <w:tcW w:type="dxa" w:w="764"/>
            <w:vMerge/>
            <w:tcBorders>
              <w:top w:val="none" w:color="000000" w:sz="4"/>
              <w:left w:val="double" w:color="000000" w:sz="8"/>
              <w:bottom w:val="single" w:color="000000" w:sz="8"/>
              <w:right w:val="single" w:color="000000" w:sz="8"/>
            </w:tcBorders>
          </w:tcPr>
          <w:p/>
        </w:tc>
        <w:tc>
          <w:tcPr>
            <w:tcW w:type="dxa" w:w="1109"/>
            <w:vMerge/>
            <w:tcBorders>
              <w:top w:val="none" w:color="000000" w:sz="4"/>
              <w:left w:val="none" w:color="000000" w:sz="4"/>
              <w:bottom w:val="single" w:color="000000" w:sz="8"/>
              <w:right w:val="single" w:color="000000" w:sz="8"/>
            </w:tcBorders>
          </w:tcPr>
          <w:p/>
        </w:tc>
        <w:tc>
          <w:tcPr>
            <w:tcW w:type="dxa" w:w="11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color w:val="000000"/>
                <w:sz w:val="21"/>
              </w:rPr>
              <w:t>平台软件优化</w:t>
            </w:r>
          </w:p>
        </w:tc>
        <w:tc>
          <w:tcPr>
            <w:tcW w:type="dxa" w:w="5277"/>
            <w:tcBorders>
              <w:top w:val="none" w:color="000000" w:sz="4"/>
              <w:left w:val="none" w:color="000000" w:sz="4"/>
              <w:bottom w:val="single" w:color="000000" w:sz="8"/>
              <w:right w:val="double" w:color="000000" w:sz="8"/>
            </w:tcBorders>
            <w:tcMar>
              <w:top w:type="dxa" w:w="0"/>
              <w:left w:type="dxa" w:w="105"/>
              <w:bottom w:type="dxa" w:w="0"/>
              <w:right w:type="dxa" w:w="105"/>
            </w:tcMar>
            <w:vAlign w:val="top"/>
          </w:tcPr>
          <w:p>
            <w:pPr>
              <w:pStyle w:val="null3"/>
              <w:jc w:val="both"/>
            </w:pPr>
            <w:r>
              <w:rPr>
                <w:rFonts w:ascii="仿宋" w:hAnsi="仿宋" w:cs="仿宋" w:eastAsia="仿宋"/>
                <w:color w:val="000000"/>
                <w:sz w:val="21"/>
              </w:rPr>
              <w:t>负责福建省城市公交智能管理与服务平台（省级平台）的运行优化工作</w:t>
            </w:r>
          </w:p>
        </w:tc>
      </w:tr>
      <w:tr>
        <w:tc>
          <w:tcPr>
            <w:tcW w:type="dxa" w:w="764"/>
            <w:vMerge/>
            <w:tcBorders>
              <w:top w:val="none" w:color="000000" w:sz="4"/>
              <w:left w:val="double" w:color="000000" w:sz="8"/>
              <w:bottom w:val="single" w:color="000000" w:sz="8"/>
              <w:right w:val="single" w:color="000000" w:sz="8"/>
            </w:tcBorders>
          </w:tcPr>
          <w:p/>
        </w:tc>
        <w:tc>
          <w:tcPr>
            <w:tcW w:type="dxa" w:w="1109"/>
            <w:vMerge/>
            <w:tcBorders>
              <w:top w:val="none" w:color="000000" w:sz="4"/>
              <w:left w:val="none" w:color="000000" w:sz="4"/>
              <w:bottom w:val="single" w:color="000000" w:sz="8"/>
              <w:right w:val="single" w:color="000000" w:sz="8"/>
            </w:tcBorders>
          </w:tcPr>
          <w:p/>
        </w:tc>
        <w:tc>
          <w:tcPr>
            <w:tcW w:type="dxa" w:w="11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color w:val="000000"/>
                <w:sz w:val="21"/>
              </w:rPr>
              <w:t>平台软件漏洞修改</w:t>
            </w:r>
          </w:p>
        </w:tc>
        <w:tc>
          <w:tcPr>
            <w:tcW w:type="dxa" w:w="5277"/>
            <w:tcBorders>
              <w:top w:val="none" w:color="000000" w:sz="4"/>
              <w:left w:val="none" w:color="000000" w:sz="4"/>
              <w:bottom w:val="single" w:color="000000" w:sz="8"/>
              <w:right w:val="double" w:color="000000" w:sz="8"/>
            </w:tcBorders>
            <w:tcMar>
              <w:top w:type="dxa" w:w="0"/>
              <w:left w:type="dxa" w:w="105"/>
              <w:bottom w:type="dxa" w:w="0"/>
              <w:right w:type="dxa" w:w="105"/>
            </w:tcMar>
            <w:vAlign w:val="top"/>
          </w:tcPr>
          <w:p>
            <w:pPr>
              <w:pStyle w:val="null3"/>
              <w:jc w:val="both"/>
            </w:pPr>
            <w:r>
              <w:rPr>
                <w:rFonts w:ascii="仿宋" w:hAnsi="仿宋" w:cs="仿宋" w:eastAsia="仿宋"/>
                <w:color w:val="000000"/>
                <w:sz w:val="21"/>
              </w:rPr>
              <w:t>负责福建省城市公交智能管理与服务平台（省级平台）的漏洞修改工作</w:t>
            </w:r>
          </w:p>
        </w:tc>
      </w:tr>
      <w:tr>
        <w:tc>
          <w:tcPr>
            <w:tcW w:type="dxa" w:w="764"/>
            <w:vMerge/>
            <w:tcBorders>
              <w:top w:val="none" w:color="000000" w:sz="4"/>
              <w:left w:val="double" w:color="000000" w:sz="8"/>
              <w:bottom w:val="single" w:color="000000" w:sz="8"/>
              <w:right w:val="single" w:color="000000" w:sz="8"/>
            </w:tcBorders>
          </w:tcPr>
          <w:p/>
        </w:tc>
        <w:tc>
          <w:tcPr>
            <w:tcW w:type="dxa" w:w="1109"/>
            <w:vMerge/>
            <w:tcBorders>
              <w:top w:val="none" w:color="000000" w:sz="4"/>
              <w:left w:val="none" w:color="000000" w:sz="4"/>
              <w:bottom w:val="single" w:color="000000" w:sz="8"/>
              <w:right w:val="single" w:color="000000" w:sz="8"/>
            </w:tcBorders>
          </w:tcPr>
          <w:p/>
        </w:tc>
        <w:tc>
          <w:tcPr>
            <w:tcW w:type="dxa" w:w="11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color w:val="000000"/>
                <w:sz w:val="21"/>
              </w:rPr>
              <w:t>平台数据库运维</w:t>
            </w:r>
          </w:p>
        </w:tc>
        <w:tc>
          <w:tcPr>
            <w:tcW w:type="dxa" w:w="5277"/>
            <w:tcBorders>
              <w:top w:val="none" w:color="000000" w:sz="4"/>
              <w:left w:val="none" w:color="000000" w:sz="4"/>
              <w:bottom w:val="single" w:color="000000" w:sz="8"/>
              <w:right w:val="double" w:color="000000" w:sz="8"/>
            </w:tcBorders>
            <w:tcMar>
              <w:top w:type="dxa" w:w="0"/>
              <w:left w:type="dxa" w:w="105"/>
              <w:bottom w:type="dxa" w:w="0"/>
              <w:right w:type="dxa" w:w="105"/>
            </w:tcMar>
            <w:vAlign w:val="top"/>
          </w:tcPr>
          <w:p>
            <w:pPr>
              <w:pStyle w:val="null3"/>
              <w:jc w:val="both"/>
            </w:pPr>
            <w:r>
              <w:rPr>
                <w:rFonts w:ascii="仿宋" w:hAnsi="仿宋" w:cs="仿宋" w:eastAsia="仿宋"/>
                <w:color w:val="000000"/>
                <w:sz w:val="21"/>
              </w:rPr>
              <w:t>负责福建省城市公交智能管理与服务平台（省级平台）基础库和轨迹库等数据维护与备份工作</w:t>
            </w:r>
          </w:p>
        </w:tc>
      </w:tr>
      <w:tr>
        <w:tc>
          <w:tcPr>
            <w:tcW w:type="dxa" w:w="764"/>
            <w:vMerge/>
            <w:tcBorders>
              <w:top w:val="none" w:color="000000" w:sz="4"/>
              <w:left w:val="double" w:color="000000" w:sz="8"/>
              <w:bottom w:val="single" w:color="000000" w:sz="8"/>
              <w:right w:val="single" w:color="000000" w:sz="8"/>
            </w:tcBorders>
          </w:tcPr>
          <w:p/>
        </w:tc>
        <w:tc>
          <w:tcPr>
            <w:tcW w:type="dxa" w:w="1109"/>
            <w:vMerge/>
            <w:tcBorders>
              <w:top w:val="none" w:color="000000" w:sz="4"/>
              <w:left w:val="none" w:color="000000" w:sz="4"/>
              <w:bottom w:val="single" w:color="000000" w:sz="8"/>
              <w:right w:val="single" w:color="000000" w:sz="8"/>
            </w:tcBorders>
          </w:tcPr>
          <w:p/>
        </w:tc>
        <w:tc>
          <w:tcPr>
            <w:tcW w:type="dxa" w:w="1124"/>
            <w:tcBorders>
              <w:top w:val="none" w:color="000000" w:sz="4"/>
              <w:left w:val="none" w:color="000000" w:sz="4"/>
              <w:bottom w:val="doub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color w:val="000000"/>
                <w:sz w:val="21"/>
              </w:rPr>
              <w:t>数据共享对接</w:t>
            </w:r>
          </w:p>
        </w:tc>
        <w:tc>
          <w:tcPr>
            <w:tcW w:type="dxa" w:w="5277"/>
            <w:tcBorders>
              <w:top w:val="none" w:color="000000" w:sz="4"/>
              <w:left w:val="none" w:color="000000" w:sz="4"/>
              <w:bottom w:val="double" w:color="000000" w:sz="8"/>
              <w:right w:val="double" w:color="000000" w:sz="8"/>
            </w:tcBorders>
            <w:tcMar>
              <w:top w:type="dxa" w:w="0"/>
              <w:left w:type="dxa" w:w="105"/>
              <w:bottom w:type="dxa" w:w="0"/>
              <w:right w:type="dxa" w:w="105"/>
            </w:tcMar>
            <w:vAlign w:val="top"/>
          </w:tcPr>
          <w:p>
            <w:pPr>
              <w:pStyle w:val="null3"/>
              <w:jc w:val="both"/>
            </w:pPr>
            <w:r>
              <w:rPr>
                <w:rFonts w:ascii="仿宋" w:hAnsi="仿宋" w:cs="仿宋" w:eastAsia="仿宋"/>
                <w:color w:val="000000"/>
                <w:sz w:val="21"/>
              </w:rPr>
              <w:t>负责福建省城市公交智能管理与服务平台省级平台与市级平台以及省交通数据汇聚平台的数据传输接口运行保障工作</w:t>
            </w:r>
          </w:p>
        </w:tc>
      </w:tr>
    </w:tbl>
    <w:p>
      <w:pPr>
        <w:pStyle w:val="null3"/>
        <w:jc w:val="center"/>
      </w:pPr>
      <w:r>
        <w:rPr>
          <w:rFonts w:ascii="仿宋" w:hAnsi="仿宋" w:cs="仿宋" w:eastAsia="仿宋"/>
        </w:rPr>
        <w:t>表</w:t>
      </w:r>
      <w:r>
        <w:rPr>
          <w:rFonts w:ascii="仿宋" w:hAnsi="仿宋" w:cs="仿宋" w:eastAsia="仿宋"/>
        </w:rPr>
        <w:t>2-2福建省城市公交智能管理与服务平台运维内容清单</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779"/>
        <w:gridCol w:w="2069"/>
        <w:gridCol w:w="2113"/>
        <w:gridCol w:w="1649"/>
        <w:gridCol w:w="1649"/>
      </w:tblGrid>
      <w:tr>
        <w:tc>
          <w:tcPr>
            <w:tcW w:type="dxa" w:w="779"/>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b/>
                <w:sz w:val="24"/>
              </w:rPr>
              <w:t>序号</w:t>
            </w:r>
          </w:p>
        </w:tc>
        <w:tc>
          <w:tcPr>
            <w:tcW w:type="dxa" w:w="206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b/>
                <w:sz w:val="24"/>
              </w:rPr>
              <w:t>运维服务项</w:t>
            </w:r>
          </w:p>
        </w:tc>
        <w:tc>
          <w:tcPr>
            <w:tcW w:type="dxa" w:w="211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b/>
                <w:sz w:val="24"/>
              </w:rPr>
              <w:t>内容</w:t>
            </w:r>
          </w:p>
        </w:tc>
        <w:tc>
          <w:tcPr>
            <w:tcW w:type="dxa" w:w="164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b/>
                <w:sz w:val="24"/>
              </w:rPr>
              <w:t>服务频次</w:t>
            </w:r>
          </w:p>
        </w:tc>
        <w:tc>
          <w:tcPr>
            <w:tcW w:type="dxa" w:w="164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b/>
                <w:sz w:val="24"/>
              </w:rPr>
              <w:t>备注</w:t>
            </w:r>
          </w:p>
        </w:tc>
      </w:tr>
      <w:tr>
        <w:tc>
          <w:tcPr>
            <w:tcW w:type="dxa" w:w="779"/>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1</w:t>
            </w:r>
          </w:p>
        </w:tc>
        <w:tc>
          <w:tcPr>
            <w:tcW w:type="dxa" w:w="2069"/>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平台日常运维巡检</w:t>
            </w:r>
          </w:p>
        </w:tc>
        <w:tc>
          <w:tcPr>
            <w:tcW w:type="dxa" w:w="211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1、</w:t>
            </w:r>
            <w:r>
              <w:rPr>
                <w:rFonts w:ascii="仿宋" w:hAnsi="仿宋" w:cs="仿宋" w:eastAsia="仿宋"/>
                <w:color w:val="000000"/>
                <w:sz w:val="21"/>
              </w:rPr>
              <w:t>网站巡查，确定平台能够正常登录；</w:t>
            </w:r>
          </w:p>
        </w:tc>
        <w:tc>
          <w:tcPr>
            <w:tcW w:type="dxa" w:w="1649"/>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每日</w:t>
            </w:r>
          </w:p>
        </w:tc>
        <w:tc>
          <w:tcPr>
            <w:tcW w:type="dxa" w:w="1649"/>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p>
        </w:tc>
      </w:tr>
      <w:tr>
        <w:tc>
          <w:tcPr>
            <w:tcW w:type="dxa" w:w="779"/>
            <w:vMerge/>
            <w:tcBorders>
              <w:top w:val="none" w:color="000000" w:sz="4"/>
              <w:left w:val="single" w:color="000000" w:sz="8"/>
              <w:bottom w:val="single" w:color="000000" w:sz="8"/>
              <w:right w:val="single" w:color="000000" w:sz="8"/>
            </w:tcBorders>
          </w:tcPr>
          <w:p/>
        </w:tc>
        <w:tc>
          <w:tcPr>
            <w:tcW w:type="dxa" w:w="2069"/>
            <w:vMerge/>
            <w:tcBorders>
              <w:top w:val="none" w:color="000000" w:sz="4"/>
              <w:left w:val="none" w:color="000000" w:sz="4"/>
              <w:bottom w:val="single" w:color="000000" w:sz="8"/>
              <w:right w:val="single" w:color="000000" w:sz="8"/>
            </w:tcBorders>
          </w:tcPr>
          <w:p/>
        </w:tc>
        <w:tc>
          <w:tcPr>
            <w:tcW w:type="dxa" w:w="211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 w:hAnsi="仿宋" w:cs="仿宋" w:eastAsia="仿宋"/>
                <w:color w:val="000000"/>
                <w:sz w:val="21"/>
              </w:rPr>
              <w:t>2、</w:t>
            </w:r>
            <w:r>
              <w:rPr>
                <w:rFonts w:ascii="仿宋" w:hAnsi="仿宋" w:cs="仿宋" w:eastAsia="仿宋"/>
                <w:sz w:val="21"/>
              </w:rPr>
              <w:t>省级平台虚拟服务器巡查，确保能正常运行；</w:t>
            </w:r>
          </w:p>
        </w:tc>
        <w:tc>
          <w:tcPr>
            <w:tcW w:type="dxa" w:w="1649"/>
            <w:vMerge/>
            <w:tcBorders>
              <w:top w:val="none" w:color="000000" w:sz="4"/>
              <w:left w:val="none" w:color="000000" w:sz="4"/>
              <w:bottom w:val="single" w:color="000000" w:sz="8"/>
              <w:right w:val="single" w:color="000000" w:sz="8"/>
            </w:tcBorders>
          </w:tcPr>
          <w:p/>
        </w:tc>
        <w:tc>
          <w:tcPr>
            <w:tcW w:type="dxa" w:w="1649"/>
            <w:vMerge/>
            <w:tcBorders>
              <w:top w:val="none" w:color="000000" w:sz="4"/>
              <w:left w:val="none" w:color="000000" w:sz="4"/>
              <w:bottom w:val="single" w:color="000000" w:sz="8"/>
              <w:right w:val="single" w:color="000000" w:sz="8"/>
            </w:tcBorders>
          </w:tcP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2</w:t>
            </w:r>
          </w:p>
        </w:tc>
        <w:tc>
          <w:tcPr>
            <w:tcW w:type="dxa" w:w="206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平台软件优化</w:t>
            </w:r>
          </w:p>
        </w:tc>
        <w:tc>
          <w:tcPr>
            <w:tcW w:type="dxa" w:w="211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1"/>
              </w:rPr>
              <w:t>根据用户使用需对省级平台缺陷及时进行</w:t>
            </w:r>
            <w:r>
              <w:rPr>
                <w:rFonts w:ascii="仿宋" w:hAnsi="仿宋" w:cs="仿宋" w:eastAsia="仿宋"/>
                <w:color w:val="000000"/>
                <w:sz w:val="21"/>
              </w:rPr>
              <w:t>优化工作</w:t>
            </w:r>
            <w:r>
              <w:rPr>
                <w:rFonts w:ascii="仿宋" w:hAnsi="仿宋" w:cs="仿宋" w:eastAsia="仿宋"/>
                <w:sz w:val="21"/>
              </w:rPr>
              <w:t>。</w:t>
            </w:r>
          </w:p>
        </w:tc>
        <w:tc>
          <w:tcPr>
            <w:tcW w:type="dxa" w:w="164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按采购人要求</w:t>
            </w:r>
          </w:p>
        </w:tc>
        <w:tc>
          <w:tcPr>
            <w:tcW w:type="dxa" w:w="164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206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平台软件漏洞修改</w:t>
            </w:r>
          </w:p>
        </w:tc>
        <w:tc>
          <w:tcPr>
            <w:tcW w:type="dxa" w:w="211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pPr>
            <w:r>
              <w:rPr>
                <w:rFonts w:ascii="仿宋" w:hAnsi="仿宋" w:cs="仿宋" w:eastAsia="仿宋"/>
                <w:color w:val="000000"/>
                <w:sz w:val="21"/>
              </w:rPr>
              <w:t>项目单位安全管理部门提出的安全防护、漏洞修复、安全补丁等事件要求对省级平台发现的漏洞进行修复工作。</w:t>
            </w:r>
          </w:p>
        </w:tc>
        <w:tc>
          <w:tcPr>
            <w:tcW w:type="dxa" w:w="164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按采购人要求</w:t>
            </w:r>
          </w:p>
        </w:tc>
        <w:tc>
          <w:tcPr>
            <w:tcW w:type="dxa" w:w="164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pPr>
          </w:p>
        </w:tc>
      </w:tr>
      <w:tr>
        <w:tc>
          <w:tcPr>
            <w:tcW w:type="dxa" w:w="779"/>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1"/>
              </w:rPr>
              <w:t>4</w:t>
            </w:r>
          </w:p>
        </w:tc>
        <w:tc>
          <w:tcPr>
            <w:tcW w:type="dxa" w:w="2069"/>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平台数据库运维</w:t>
            </w:r>
          </w:p>
        </w:tc>
        <w:tc>
          <w:tcPr>
            <w:tcW w:type="dxa" w:w="211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pPr>
            <w:r>
              <w:rPr>
                <w:rFonts w:ascii="仿宋" w:hAnsi="仿宋" w:cs="仿宋" w:eastAsia="仿宋"/>
                <w:sz w:val="21"/>
              </w:rPr>
              <w:t>1、检查数据库实例是正常运行；</w:t>
            </w:r>
          </w:p>
        </w:tc>
        <w:tc>
          <w:tcPr>
            <w:tcW w:type="dxa" w:w="1649"/>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每日</w:t>
            </w:r>
          </w:p>
        </w:tc>
        <w:tc>
          <w:tcPr>
            <w:tcW w:type="dxa" w:w="1649"/>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both"/>
            </w:pPr>
          </w:p>
        </w:tc>
      </w:tr>
      <w:tr>
        <w:tc>
          <w:tcPr>
            <w:tcW w:type="dxa" w:w="779"/>
            <w:vMerge/>
            <w:tcBorders>
              <w:top w:val="none" w:color="000000" w:sz="4"/>
              <w:left w:val="single" w:color="000000" w:sz="8"/>
              <w:bottom w:val="single" w:color="000000" w:sz="8"/>
              <w:right w:val="single" w:color="000000" w:sz="8"/>
            </w:tcBorders>
          </w:tcPr>
          <w:p/>
        </w:tc>
        <w:tc>
          <w:tcPr>
            <w:tcW w:type="dxa" w:w="2069"/>
            <w:vMerge/>
            <w:tcBorders>
              <w:top w:val="none" w:color="000000" w:sz="4"/>
              <w:left w:val="none" w:color="000000" w:sz="4"/>
              <w:bottom w:val="single" w:color="000000" w:sz="8"/>
              <w:right w:val="single" w:color="000000" w:sz="8"/>
            </w:tcBorders>
          </w:tcPr>
          <w:p/>
        </w:tc>
        <w:tc>
          <w:tcPr>
            <w:tcW w:type="dxa" w:w="211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sz w:val="21"/>
              </w:rPr>
              <w:t>2、检查数据库表空间的使用情况；</w:t>
            </w:r>
          </w:p>
        </w:tc>
        <w:tc>
          <w:tcPr>
            <w:tcW w:type="dxa" w:w="1649"/>
            <w:vMerge/>
            <w:tcBorders>
              <w:top w:val="none" w:color="000000" w:sz="4"/>
              <w:left w:val="none" w:color="000000" w:sz="4"/>
              <w:bottom w:val="single" w:color="000000" w:sz="8"/>
              <w:right w:val="single" w:color="000000" w:sz="8"/>
            </w:tcBorders>
          </w:tcPr>
          <w:p/>
        </w:tc>
        <w:tc>
          <w:tcPr>
            <w:tcW w:type="dxa" w:w="1649"/>
            <w:vMerge/>
            <w:tcBorders>
              <w:top w:val="none" w:color="000000" w:sz="4"/>
              <w:left w:val="none" w:color="000000" w:sz="4"/>
              <w:bottom w:val="single" w:color="000000" w:sz="8"/>
              <w:right w:val="single" w:color="000000" w:sz="8"/>
            </w:tcBorders>
          </w:tcPr>
          <w:p/>
        </w:tc>
      </w:tr>
      <w:tr>
        <w:tc>
          <w:tcPr>
            <w:tcW w:type="dxa" w:w="779"/>
            <w:vMerge/>
            <w:tcBorders>
              <w:top w:val="none" w:color="000000" w:sz="4"/>
              <w:left w:val="single" w:color="000000" w:sz="8"/>
              <w:bottom w:val="single" w:color="000000" w:sz="8"/>
              <w:right w:val="single" w:color="000000" w:sz="8"/>
            </w:tcBorders>
          </w:tcPr>
          <w:p/>
        </w:tc>
        <w:tc>
          <w:tcPr>
            <w:tcW w:type="dxa" w:w="2069"/>
            <w:vMerge/>
            <w:tcBorders>
              <w:top w:val="none" w:color="000000" w:sz="4"/>
              <w:left w:val="none" w:color="000000" w:sz="4"/>
              <w:bottom w:val="single" w:color="000000" w:sz="8"/>
              <w:right w:val="single" w:color="000000" w:sz="8"/>
            </w:tcBorders>
          </w:tcPr>
          <w:p/>
        </w:tc>
        <w:tc>
          <w:tcPr>
            <w:tcW w:type="dxa" w:w="211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pPr>
            <w:r>
              <w:rPr>
                <w:rFonts w:ascii="仿宋" w:hAnsi="仿宋" w:cs="仿宋" w:eastAsia="仿宋"/>
                <w:sz w:val="21"/>
              </w:rPr>
              <w:t>3、对省级平台数据库进行备份工作。</w:t>
            </w:r>
          </w:p>
        </w:tc>
        <w:tc>
          <w:tcPr>
            <w:tcW w:type="dxa" w:w="164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每季度</w:t>
            </w:r>
          </w:p>
        </w:tc>
        <w:tc>
          <w:tcPr>
            <w:tcW w:type="dxa" w:w="164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包括用户表、车辆信息表、营运里程表等基础数据表</w:t>
            </w:r>
          </w:p>
        </w:tc>
      </w:tr>
      <w:tr>
        <w:tc>
          <w:tcPr>
            <w:tcW w:type="dxa" w:w="779"/>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5</w:t>
            </w:r>
          </w:p>
        </w:tc>
        <w:tc>
          <w:tcPr>
            <w:tcW w:type="dxa" w:w="2069"/>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数据共享对接</w:t>
            </w:r>
          </w:p>
        </w:tc>
        <w:tc>
          <w:tcPr>
            <w:tcW w:type="dxa" w:w="211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pPr>
            <w:r>
              <w:rPr>
                <w:rFonts w:ascii="仿宋" w:hAnsi="仿宋" w:cs="仿宋" w:eastAsia="仿宋"/>
                <w:sz w:val="21"/>
              </w:rPr>
              <w:t>1、对省市平台间的数据传输接口进行检查，确保数据正常推送。</w:t>
            </w:r>
          </w:p>
        </w:tc>
        <w:tc>
          <w:tcPr>
            <w:tcW w:type="dxa" w:w="164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每日</w:t>
            </w:r>
          </w:p>
        </w:tc>
        <w:tc>
          <w:tcPr>
            <w:tcW w:type="dxa" w:w="164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pPr>
            <w:r>
              <w:rPr>
                <w:rFonts w:ascii="仿宋" w:hAnsi="仿宋" w:cs="仿宋" w:eastAsia="仿宋"/>
                <w:sz w:val="21"/>
              </w:rPr>
              <w:t>与</w:t>
            </w:r>
            <w:r>
              <w:rPr>
                <w:rFonts w:ascii="仿宋" w:hAnsi="仿宋" w:cs="仿宋" w:eastAsia="仿宋"/>
                <w:sz w:val="21"/>
              </w:rPr>
              <w:t>9地市的市级公交平台对接，保证油补数据正常推送。</w:t>
            </w:r>
          </w:p>
        </w:tc>
      </w:tr>
      <w:tr>
        <w:tc>
          <w:tcPr>
            <w:tcW w:type="dxa" w:w="779"/>
            <w:vMerge/>
            <w:tcBorders>
              <w:top w:val="none" w:color="000000" w:sz="4"/>
              <w:left w:val="single" w:color="000000" w:sz="8"/>
              <w:bottom w:val="single" w:color="000000" w:sz="8"/>
              <w:right w:val="single" w:color="000000" w:sz="8"/>
            </w:tcBorders>
          </w:tcPr>
          <w:p/>
        </w:tc>
        <w:tc>
          <w:tcPr>
            <w:tcW w:type="dxa" w:w="2069"/>
            <w:vMerge/>
            <w:tcBorders>
              <w:top w:val="none" w:color="000000" w:sz="4"/>
              <w:left w:val="none" w:color="000000" w:sz="4"/>
              <w:bottom w:val="single" w:color="000000" w:sz="8"/>
              <w:right w:val="single" w:color="000000" w:sz="8"/>
            </w:tcBorders>
          </w:tcPr>
          <w:p/>
        </w:tc>
        <w:tc>
          <w:tcPr>
            <w:tcW w:type="dxa" w:w="211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pPr>
            <w:r>
              <w:rPr>
                <w:rFonts w:ascii="仿宋" w:hAnsi="仿宋" w:cs="仿宋" w:eastAsia="仿宋"/>
                <w:sz w:val="21"/>
              </w:rPr>
              <w:t>2、省城市公交平台根据数据目录，</w:t>
            </w:r>
            <w:r>
              <w:rPr>
                <w:rFonts w:ascii="仿宋" w:hAnsi="仿宋" w:cs="仿宋" w:eastAsia="仿宋"/>
                <w:sz w:val="24"/>
              </w:rPr>
              <w:t>向</w:t>
            </w:r>
            <w:r>
              <w:rPr>
                <w:rFonts w:ascii="仿宋" w:hAnsi="仿宋" w:cs="仿宋" w:eastAsia="仿宋"/>
                <w:sz w:val="21"/>
              </w:rPr>
              <w:t>省厅汇聚平台</w:t>
            </w:r>
            <w:r>
              <w:rPr>
                <w:rFonts w:ascii="仿宋" w:hAnsi="仿宋" w:cs="仿宋" w:eastAsia="仿宋"/>
                <w:sz w:val="24"/>
              </w:rPr>
              <w:t>推送数据。</w:t>
            </w:r>
          </w:p>
        </w:tc>
        <w:tc>
          <w:tcPr>
            <w:tcW w:type="dxa" w:w="164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每季度</w:t>
            </w:r>
          </w:p>
        </w:tc>
        <w:tc>
          <w:tcPr>
            <w:tcW w:type="dxa" w:w="164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详见</w:t>
            </w:r>
            <w:r>
              <w:rPr>
                <w:rFonts w:ascii="仿宋" w:hAnsi="仿宋" w:cs="仿宋" w:eastAsia="仿宋"/>
                <w:sz w:val="21"/>
              </w:rPr>
              <w:t>表</w:t>
            </w:r>
            <w:r>
              <w:rPr>
                <w:rFonts w:ascii="仿宋" w:hAnsi="仿宋" w:cs="仿宋" w:eastAsia="仿宋"/>
                <w:sz w:val="21"/>
              </w:rPr>
              <w:t>2-3数据目录清单</w:t>
            </w:r>
          </w:p>
        </w:tc>
      </w:tr>
    </w:tbl>
    <w:p>
      <w:pPr>
        <w:pStyle w:val="null3"/>
        <w:spacing w:after="120"/>
        <w:jc w:val="both"/>
      </w:pPr>
      <w:r>
        <w:rPr>
          <w:rFonts w:ascii="仿宋" w:hAnsi="仿宋" w:cs="仿宋" w:eastAsia="仿宋"/>
          <w:sz w:val="21"/>
        </w:rPr>
        <w:t>表</w:t>
      </w:r>
      <w:r>
        <w:rPr>
          <w:rFonts w:ascii="仿宋" w:hAnsi="仿宋" w:cs="仿宋" w:eastAsia="仿宋"/>
          <w:sz w:val="21"/>
        </w:rPr>
        <w:t>2-3</w:t>
      </w:r>
      <w:r>
        <w:rPr>
          <w:rFonts w:ascii="仿宋" w:hAnsi="仿宋" w:cs="仿宋" w:eastAsia="仿宋"/>
          <w:sz w:val="21"/>
        </w:rPr>
        <w:t>数据目录清单</w:t>
      </w:r>
    </w:p>
    <w:tbl>
      <w:tblPr>
        <w:tblW w:w="0" w:type="auto"/>
        <w:tblBorders>
          <w:top w:val="none" w:color="000000" w:sz="4"/>
          <w:left w:val="none" w:color="000000" w:sz="4"/>
          <w:bottom w:val="none" w:color="000000" w:sz="4"/>
          <w:right w:val="none" w:color="000000" w:sz="4"/>
          <w:insideH w:val="none"/>
          <w:insideV w:val="none"/>
        </w:tblBorders>
      </w:tblPr>
      <w:tblGrid>
        <w:gridCol w:w="1462"/>
        <w:gridCol w:w="2208"/>
        <w:gridCol w:w="4606"/>
      </w:tblGrid>
      <w:tr>
        <w:tc>
          <w:tcPr>
            <w:tcW w:type="dxa" w:w="146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系统名称</w:t>
            </w:r>
          </w:p>
        </w:tc>
        <w:tc>
          <w:tcPr>
            <w:tcW w:type="dxa" w:w="220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数据目录名称</w:t>
            </w:r>
          </w:p>
        </w:tc>
        <w:tc>
          <w:tcPr>
            <w:tcW w:type="dxa" w:w="460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center"/>
            </w:pPr>
            <w:r>
              <w:rPr>
                <w:rFonts w:ascii="仿宋" w:hAnsi="仿宋" w:cs="仿宋" w:eastAsia="仿宋"/>
                <w:sz w:val="21"/>
              </w:rPr>
              <w:t>数据资源摘要</w:t>
            </w:r>
          </w:p>
        </w:tc>
      </w:tr>
      <w:tr>
        <w:tc>
          <w:tcPr>
            <w:tcW w:type="dxa" w:w="1462"/>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福建省城市公交智能管理与服务平台</w:t>
            </w:r>
          </w:p>
        </w:tc>
        <w:tc>
          <w:tcPr>
            <w:tcW w:type="dxa" w:w="22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企业线路信息</w:t>
            </w:r>
          </w:p>
        </w:tc>
        <w:tc>
          <w:tcPr>
            <w:tcW w:type="dxa" w:w="46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存储全省市级平台各个公交企业的线路信息，包括企业编号、线路编号、线路名称、上下行线路里程、票价、上下行线路首末班时间、早晚高峰开始和结束时间以及发车间隔等信息</w:t>
            </w:r>
          </w:p>
        </w:tc>
      </w:tr>
      <w:tr>
        <w:tc>
          <w:tcPr>
            <w:tcW w:type="dxa" w:w="1462"/>
            <w:vMerge/>
            <w:tcBorders>
              <w:top w:val="none" w:color="000000" w:sz="4"/>
              <w:left w:val="single" w:color="000000" w:sz="8"/>
              <w:bottom w:val="single" w:color="000000" w:sz="8"/>
              <w:right w:val="single" w:color="000000" w:sz="8"/>
            </w:tcBorders>
          </w:tcPr>
          <w:p/>
        </w:tc>
        <w:tc>
          <w:tcPr>
            <w:tcW w:type="dxa" w:w="22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企业基础信息</w:t>
            </w:r>
          </w:p>
        </w:tc>
        <w:tc>
          <w:tcPr>
            <w:tcW w:type="dxa" w:w="46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全省市级平台各个公交企业的企业名称、企业性质、城市编码。</w:t>
            </w:r>
          </w:p>
        </w:tc>
      </w:tr>
      <w:tr>
        <w:tc>
          <w:tcPr>
            <w:tcW w:type="dxa" w:w="1462"/>
            <w:vMerge/>
            <w:tcBorders>
              <w:top w:val="none" w:color="000000" w:sz="4"/>
              <w:left w:val="single" w:color="000000" w:sz="8"/>
              <w:bottom w:val="single" w:color="000000" w:sz="8"/>
              <w:right w:val="single" w:color="000000" w:sz="8"/>
            </w:tcBorders>
          </w:tcPr>
          <w:p/>
        </w:tc>
        <w:tc>
          <w:tcPr>
            <w:tcW w:type="dxa" w:w="22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驾驶员信息</w:t>
            </w:r>
          </w:p>
        </w:tc>
        <w:tc>
          <w:tcPr>
            <w:tcW w:type="dxa" w:w="46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全省市级平台各个公交企业的驾驶员基础信息，包括驾驶员姓名、性别、籍贯、出生日期身份证号、联系电话、学历等。</w:t>
            </w:r>
          </w:p>
        </w:tc>
      </w:tr>
      <w:tr>
        <w:tc>
          <w:tcPr>
            <w:tcW w:type="dxa" w:w="1462"/>
            <w:vMerge/>
            <w:tcBorders>
              <w:top w:val="none" w:color="000000" w:sz="4"/>
              <w:left w:val="single" w:color="000000" w:sz="8"/>
              <w:bottom w:val="single" w:color="000000" w:sz="8"/>
              <w:right w:val="single" w:color="000000" w:sz="8"/>
            </w:tcBorders>
          </w:tcPr>
          <w:p/>
        </w:tc>
        <w:tc>
          <w:tcPr>
            <w:tcW w:type="dxa" w:w="22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城市信息</w:t>
            </w:r>
          </w:p>
        </w:tc>
        <w:tc>
          <w:tcPr>
            <w:tcW w:type="dxa" w:w="46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全省各个市级平台的城市名称、城市编码。</w:t>
            </w:r>
          </w:p>
        </w:tc>
      </w:tr>
      <w:tr>
        <w:tc>
          <w:tcPr>
            <w:tcW w:type="dxa" w:w="1462"/>
            <w:vMerge/>
            <w:tcBorders>
              <w:top w:val="none" w:color="000000" w:sz="4"/>
              <w:left w:val="single" w:color="000000" w:sz="8"/>
              <w:bottom w:val="single" w:color="000000" w:sz="8"/>
              <w:right w:val="single" w:color="000000" w:sz="8"/>
            </w:tcBorders>
          </w:tcPr>
          <w:p/>
        </w:tc>
        <w:tc>
          <w:tcPr>
            <w:tcW w:type="dxa" w:w="22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车辆营运统计数据</w:t>
            </w:r>
          </w:p>
        </w:tc>
        <w:tc>
          <w:tcPr>
            <w:tcW w:type="dxa" w:w="46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市级平台各个公交企业的车辆营运统计数据，主要包括车牌号、车辆颜色、计划班次数、实发班次数、上</w:t>
            </w:r>
            <w:r>
              <w:rPr>
                <w:rFonts w:ascii="仿宋" w:hAnsi="仿宋" w:cs="仿宋" w:eastAsia="仿宋"/>
                <w:sz w:val="21"/>
              </w:rPr>
              <w:t>/下行线路里程、营运班次等基础信息。</w:t>
            </w:r>
          </w:p>
        </w:tc>
      </w:tr>
      <w:tr>
        <w:tc>
          <w:tcPr>
            <w:tcW w:type="dxa" w:w="1462"/>
            <w:vMerge/>
            <w:tcBorders>
              <w:top w:val="none" w:color="000000" w:sz="4"/>
              <w:left w:val="single" w:color="000000" w:sz="8"/>
              <w:bottom w:val="single" w:color="000000" w:sz="8"/>
              <w:right w:val="single" w:color="000000" w:sz="8"/>
            </w:tcBorders>
          </w:tcPr>
          <w:p/>
        </w:tc>
        <w:tc>
          <w:tcPr>
            <w:tcW w:type="dxa" w:w="22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车辆信息</w:t>
            </w:r>
          </w:p>
        </w:tc>
        <w:tc>
          <w:tcPr>
            <w:tcW w:type="dxa" w:w="46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全省市级平台各个公交企业的车辆基础信息，包括车牌号、车牌颜色、车辆长度、燃油类型车辆状态、状态变化日期、客位数等。</w:t>
            </w:r>
          </w:p>
        </w:tc>
      </w:tr>
      <w:tr>
        <w:tc>
          <w:tcPr>
            <w:tcW w:type="dxa" w:w="1462"/>
            <w:vMerge/>
            <w:tcBorders>
              <w:top w:val="none" w:color="000000" w:sz="4"/>
              <w:left w:val="single" w:color="000000" w:sz="8"/>
              <w:bottom w:val="single" w:color="000000" w:sz="8"/>
              <w:right w:val="single" w:color="000000" w:sz="8"/>
            </w:tcBorders>
          </w:tcPr>
          <w:p/>
        </w:tc>
        <w:tc>
          <w:tcPr>
            <w:tcW w:type="dxa" w:w="22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企业资源信息</w:t>
            </w:r>
          </w:p>
        </w:tc>
        <w:tc>
          <w:tcPr>
            <w:tcW w:type="dxa" w:w="46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全省市级平台各个公交企业的线路数、车辆数、车辆标台数等基础信息。</w:t>
            </w:r>
          </w:p>
        </w:tc>
      </w:tr>
      <w:tr>
        <w:tc>
          <w:tcPr>
            <w:tcW w:type="dxa" w:w="1462"/>
            <w:vMerge/>
            <w:tcBorders>
              <w:top w:val="none" w:color="000000" w:sz="4"/>
              <w:left w:val="single" w:color="000000" w:sz="8"/>
              <w:bottom w:val="single" w:color="000000" w:sz="8"/>
              <w:right w:val="single" w:color="000000" w:sz="8"/>
            </w:tcBorders>
          </w:tcPr>
          <w:p/>
        </w:tc>
        <w:tc>
          <w:tcPr>
            <w:tcW w:type="dxa" w:w="22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企业站点信息</w:t>
            </w:r>
          </w:p>
        </w:tc>
        <w:tc>
          <w:tcPr>
            <w:tcW w:type="dxa" w:w="46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全省市级平台各个公交企业的公交站点基础信息，包括站点编号、站点名称、经纬度、站点类别、站点方位。</w:t>
            </w:r>
          </w:p>
        </w:tc>
      </w:tr>
      <w:tr>
        <w:tc>
          <w:tcPr>
            <w:tcW w:type="dxa" w:w="1462"/>
            <w:vMerge/>
            <w:tcBorders>
              <w:top w:val="none" w:color="000000" w:sz="4"/>
              <w:left w:val="single" w:color="000000" w:sz="8"/>
              <w:bottom w:val="single" w:color="000000" w:sz="8"/>
              <w:right w:val="single" w:color="000000" w:sz="8"/>
            </w:tcBorders>
          </w:tcPr>
          <w:p/>
        </w:tc>
        <w:tc>
          <w:tcPr>
            <w:tcW w:type="dxa" w:w="22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企业线路站点信息</w:t>
            </w:r>
          </w:p>
        </w:tc>
        <w:tc>
          <w:tcPr>
            <w:tcW w:type="dxa" w:w="46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after="120"/>
              <w:jc w:val="both"/>
            </w:pPr>
            <w:r>
              <w:rPr>
                <w:rFonts w:ascii="仿宋" w:hAnsi="仿宋" w:cs="仿宋" w:eastAsia="仿宋"/>
                <w:sz w:val="21"/>
              </w:rPr>
              <w:t>全省市级平台各个公交企业的线路和站点的绑定关系等基础信息，包含上下行、站点、站间距。</w:t>
            </w:r>
          </w:p>
        </w:tc>
      </w:tr>
    </w:tbl>
    <w:p>
      <w:pPr>
        <w:pStyle w:val="null3"/>
        <w:spacing w:after="120"/>
        <w:jc w:val="both"/>
      </w:pPr>
      <w:r>
        <w:rPr>
          <w:rFonts w:ascii="仿宋" w:hAnsi="仿宋" w:cs="仿宋" w:eastAsia="仿宋"/>
          <w:b/>
          <w:sz w:val="27"/>
        </w:rPr>
        <w:t>（二）项目运维服务要求</w:t>
      </w:r>
    </w:p>
    <w:p>
      <w:pPr>
        <w:pStyle w:val="null3"/>
        <w:spacing w:before="150" w:after="150"/>
        <w:ind w:left="420"/>
      </w:pPr>
      <w:r>
        <w:rPr>
          <w:rFonts w:ascii="仿宋" w:hAnsi="仿宋" w:cs="仿宋" w:eastAsia="仿宋"/>
          <w:b/>
          <w:sz w:val="24"/>
        </w:rPr>
        <w:t>(指标项1) 1、维护服务期：自合同签订之日起一年</w:t>
      </w:r>
    </w:p>
    <w:p>
      <w:pPr>
        <w:pStyle w:val="null3"/>
        <w:spacing w:before="150" w:after="150"/>
        <w:ind w:firstLine="318"/>
      </w:pPr>
      <w:r>
        <w:rPr>
          <w:rFonts w:ascii="仿宋" w:hAnsi="仿宋" w:cs="仿宋" w:eastAsia="仿宋"/>
          <w:b/>
          <w:sz w:val="24"/>
        </w:rPr>
        <w:t>（指标项</w:t>
      </w:r>
      <w:r>
        <w:rPr>
          <w:rFonts w:ascii="仿宋" w:hAnsi="仿宋" w:cs="仿宋" w:eastAsia="仿宋"/>
          <w:b/>
          <w:sz w:val="24"/>
        </w:rPr>
        <w:t>2）2、运维服务对象：福建省交通信息通信与应急处置中心</w:t>
      </w:r>
    </w:p>
    <w:p>
      <w:pPr>
        <w:pStyle w:val="null3"/>
        <w:spacing w:before="150" w:after="150"/>
        <w:ind w:left="420"/>
      </w:pPr>
      <w:r>
        <w:rPr>
          <w:rFonts w:ascii="仿宋" w:hAnsi="仿宋" w:cs="仿宋" w:eastAsia="仿宋"/>
          <w:b/>
          <w:sz w:val="27"/>
        </w:rPr>
        <w:t>3、维护服务要求：</w:t>
      </w:r>
    </w:p>
    <w:p>
      <w:pPr>
        <w:pStyle w:val="null3"/>
        <w:spacing w:before="150" w:after="150"/>
        <w:ind w:left="420"/>
      </w:pPr>
      <w:r>
        <w:rPr>
          <w:rFonts w:ascii="仿宋" w:hAnsi="仿宋" w:cs="仿宋" w:eastAsia="仿宋"/>
          <w:b/>
          <w:sz w:val="24"/>
        </w:rPr>
        <w:t>（指标项</w:t>
      </w:r>
      <w:r>
        <w:rPr>
          <w:rFonts w:ascii="仿宋" w:hAnsi="仿宋" w:cs="仿宋" w:eastAsia="仿宋"/>
          <w:b/>
          <w:sz w:val="24"/>
        </w:rPr>
        <w:t>3）</w:t>
      </w:r>
      <w:r>
        <w:rPr>
          <w:rFonts w:ascii="仿宋" w:hAnsi="仿宋" w:cs="仿宋" w:eastAsia="仿宋"/>
          <w:b/>
          <w:sz w:val="24"/>
        </w:rPr>
        <w:t>3.1系统功能运行维护</w:t>
      </w:r>
    </w:p>
    <w:p>
      <w:pPr>
        <w:pStyle w:val="null3"/>
        <w:spacing w:before="150" w:after="150"/>
        <w:ind w:firstLine="420"/>
      </w:pPr>
      <w:r>
        <w:rPr>
          <w:rFonts w:ascii="仿宋" w:hAnsi="仿宋" w:cs="仿宋" w:eastAsia="仿宋"/>
          <w:color w:val="000000"/>
          <w:sz w:val="24"/>
        </w:rPr>
        <w:t>投标人需提供包括但不限于日常驻点运行维护、远程技术支持服务、临时现场维护与应急运维服务等服务方式，对</w:t>
      </w:r>
      <w:r>
        <w:rPr>
          <w:rFonts w:ascii="仿宋" w:hAnsi="仿宋" w:cs="仿宋" w:eastAsia="仿宋"/>
          <w:color w:val="000000"/>
          <w:sz w:val="24"/>
        </w:rPr>
        <w:t>省级城市公交智能管理与服务平台</w:t>
      </w:r>
      <w:r>
        <w:rPr>
          <w:rFonts w:ascii="仿宋" w:hAnsi="仿宋" w:cs="仿宋" w:eastAsia="仿宋"/>
          <w:color w:val="000000"/>
          <w:sz w:val="24"/>
        </w:rPr>
        <w:t>进行改正性、适应性、完善性、预防性维护，满足日常业务工作的需要，同时，及时发现故障，分析原因、对故障进行分级处理，做到早发现、早解决，提高本项目相关业务工作的保障能力，确保业务的高可用性。</w:t>
      </w:r>
    </w:p>
    <w:p>
      <w:pPr>
        <w:pStyle w:val="null3"/>
        <w:spacing w:before="150" w:after="150"/>
        <w:ind w:left="420"/>
      </w:pPr>
      <w:r>
        <w:rPr>
          <w:rFonts w:ascii="仿宋" w:hAnsi="仿宋" w:cs="仿宋" w:eastAsia="仿宋"/>
          <w:sz w:val="24"/>
        </w:rPr>
        <w:t>★</w:t>
      </w:r>
      <w:r>
        <w:rPr>
          <w:rFonts w:ascii="仿宋" w:hAnsi="仿宋" w:cs="仿宋" w:eastAsia="仿宋"/>
          <w:b/>
          <w:sz w:val="24"/>
        </w:rPr>
        <w:t>3.2日常驻点维护</w:t>
      </w:r>
    </w:p>
    <w:p>
      <w:pPr>
        <w:pStyle w:val="null3"/>
        <w:ind w:firstLine="424"/>
      </w:pPr>
      <w:r>
        <w:rPr>
          <w:rFonts w:ascii="仿宋" w:hAnsi="仿宋" w:cs="仿宋" w:eastAsia="仿宋"/>
          <w:sz w:val="24"/>
        </w:rPr>
        <w:t>投标人须提供</w:t>
      </w:r>
      <w:r>
        <w:rPr>
          <w:rFonts w:ascii="仿宋" w:hAnsi="仿宋" w:cs="仿宋" w:eastAsia="仿宋"/>
          <w:sz w:val="24"/>
        </w:rPr>
        <w:t>1名具有独立工作能力和经验的技术人员常驻现场，驻点工作时间遵从采购人的工作时间。对</w:t>
      </w:r>
      <w:r>
        <w:rPr>
          <w:rFonts w:ascii="仿宋" w:hAnsi="仿宋" w:cs="仿宋" w:eastAsia="仿宋"/>
          <w:color w:val="000000"/>
          <w:sz w:val="24"/>
        </w:rPr>
        <w:t>省级城市公交智能管理与服务平台</w:t>
      </w:r>
      <w:r>
        <w:rPr>
          <w:rFonts w:ascii="仿宋" w:hAnsi="仿宋" w:cs="仿宋" w:eastAsia="仿宋"/>
          <w:sz w:val="24"/>
        </w:rPr>
        <w:t>使用情况进行巡检及故障处理，确保本项目高效、安全、稳定地运行。要求</w:t>
      </w:r>
      <w:r>
        <w:rPr>
          <w:rFonts w:ascii="仿宋" w:hAnsi="仿宋" w:cs="仿宋" w:eastAsia="仿宋"/>
          <w:b/>
          <w:sz w:val="24"/>
        </w:rPr>
        <w:t>投标人须提供驻场人员承诺书，否则视为其投标无效。</w:t>
      </w:r>
    </w:p>
    <w:p>
      <w:pPr>
        <w:pStyle w:val="null3"/>
        <w:spacing w:before="150" w:after="150"/>
        <w:ind w:firstLine="420"/>
      </w:pPr>
      <w:r>
        <w:rPr>
          <w:rFonts w:ascii="仿宋" w:hAnsi="仿宋" w:cs="仿宋" w:eastAsia="仿宋"/>
          <w:color w:val="000000"/>
          <w:sz w:val="24"/>
        </w:rPr>
        <w:t>驻点技术人员的主要职责：</w:t>
      </w:r>
    </w:p>
    <w:p>
      <w:pPr>
        <w:pStyle w:val="null3"/>
        <w:spacing w:before="150" w:after="150"/>
        <w:ind w:firstLine="480"/>
      </w:pPr>
      <w:r>
        <w:rPr>
          <w:rFonts w:ascii="仿宋" w:hAnsi="仿宋" w:cs="仿宋" w:eastAsia="仿宋"/>
          <w:sz w:val="24"/>
        </w:rPr>
        <w:t>（</w:t>
      </w:r>
      <w:r>
        <w:rPr>
          <w:rFonts w:ascii="仿宋" w:hAnsi="仿宋" w:cs="仿宋" w:eastAsia="仿宋"/>
          <w:sz w:val="24"/>
        </w:rPr>
        <w:t>1）恪守采购人相关保密制度，不得擅自泄露与项目信息资料与数据。</w:t>
      </w:r>
    </w:p>
    <w:p>
      <w:pPr>
        <w:pStyle w:val="null3"/>
        <w:spacing w:before="150" w:after="150"/>
        <w:ind w:firstLine="480"/>
      </w:pPr>
      <w:r>
        <w:rPr>
          <w:rFonts w:ascii="仿宋" w:hAnsi="仿宋" w:cs="仿宋" w:eastAsia="仿宋"/>
          <w:sz w:val="24"/>
        </w:rPr>
        <w:t>（</w:t>
      </w:r>
      <w:r>
        <w:rPr>
          <w:rFonts w:ascii="仿宋" w:hAnsi="仿宋" w:cs="仿宋" w:eastAsia="仿宋"/>
          <w:sz w:val="24"/>
        </w:rPr>
        <w:t>2）对省城市公交智能管理与服务平台功能性及接口进行日常巡检工作，以确保平台能够7*24小时的正常运行。</w:t>
      </w:r>
    </w:p>
    <w:p>
      <w:pPr>
        <w:pStyle w:val="null3"/>
        <w:spacing w:before="150" w:after="150"/>
        <w:ind w:firstLine="480"/>
      </w:pPr>
      <w:r>
        <w:rPr>
          <w:rFonts w:ascii="仿宋" w:hAnsi="仿宋" w:cs="仿宋" w:eastAsia="仿宋"/>
          <w:sz w:val="24"/>
        </w:rPr>
        <w:t>（</w:t>
      </w:r>
      <w:r>
        <w:rPr>
          <w:rFonts w:ascii="仿宋" w:hAnsi="仿宋" w:cs="仿宋" w:eastAsia="仿宋"/>
          <w:sz w:val="24"/>
        </w:rPr>
        <w:t>3）对省城市公交智能管理与服务平台的数据库进行巡检，确保数据库能够正常平稳运行并及时做好数据备份工作。</w:t>
      </w:r>
    </w:p>
    <w:p>
      <w:pPr>
        <w:pStyle w:val="null3"/>
        <w:spacing w:before="150" w:after="150"/>
        <w:ind w:firstLine="480"/>
      </w:pPr>
      <w:r>
        <w:rPr>
          <w:rFonts w:ascii="仿宋" w:hAnsi="仿宋" w:cs="仿宋" w:eastAsia="仿宋"/>
          <w:sz w:val="24"/>
        </w:rPr>
        <w:t>（</w:t>
      </w:r>
      <w:r>
        <w:rPr>
          <w:rFonts w:ascii="仿宋" w:hAnsi="仿宋" w:cs="仿宋" w:eastAsia="仿宋"/>
          <w:sz w:val="24"/>
        </w:rPr>
        <w:t>4）负责相关故障、疑难问题排查处理，做好记录并定期提交材料。</w:t>
      </w:r>
    </w:p>
    <w:p>
      <w:pPr>
        <w:pStyle w:val="null3"/>
        <w:spacing w:before="150" w:after="150"/>
        <w:ind w:firstLine="480"/>
      </w:pPr>
      <w:r>
        <w:rPr>
          <w:rFonts w:ascii="仿宋" w:hAnsi="仿宋" w:cs="仿宋" w:eastAsia="仿宋"/>
          <w:sz w:val="24"/>
        </w:rPr>
        <w:t>（</w:t>
      </w:r>
      <w:r>
        <w:rPr>
          <w:rFonts w:ascii="仿宋" w:hAnsi="仿宋" w:cs="仿宋" w:eastAsia="仿宋"/>
          <w:sz w:val="24"/>
        </w:rPr>
        <w:t>5）按照服务对象安全管理部门的要求，对福建省城市公交智能管理与服务平台进行系统安全防护、安全补丁等维护。</w:t>
      </w:r>
    </w:p>
    <w:p>
      <w:pPr>
        <w:pStyle w:val="null3"/>
        <w:spacing w:before="150" w:after="150"/>
        <w:ind w:firstLine="480"/>
      </w:pPr>
      <w:r>
        <w:rPr>
          <w:rFonts w:ascii="仿宋" w:hAnsi="仿宋" w:cs="仿宋" w:eastAsia="仿宋"/>
          <w:sz w:val="24"/>
        </w:rPr>
        <w:t>（</w:t>
      </w:r>
      <w:r>
        <w:rPr>
          <w:rFonts w:ascii="仿宋" w:hAnsi="仿宋" w:cs="仿宋" w:eastAsia="仿宋"/>
          <w:sz w:val="24"/>
        </w:rPr>
        <w:t>6）及时响应用户的技术要求、疑问以及使用过程中遇到的各种问题，并提出自己的见解或解决方案。</w:t>
      </w:r>
    </w:p>
    <w:p>
      <w:pPr>
        <w:pStyle w:val="null3"/>
        <w:spacing w:before="150" w:after="150"/>
        <w:ind w:firstLine="480"/>
      </w:pPr>
      <w:r>
        <w:rPr>
          <w:rFonts w:ascii="仿宋" w:hAnsi="仿宋" w:cs="仿宋" w:eastAsia="仿宋"/>
          <w:sz w:val="24"/>
        </w:rPr>
        <w:t>（</w:t>
      </w:r>
      <w:r>
        <w:rPr>
          <w:rFonts w:ascii="仿宋" w:hAnsi="仿宋" w:cs="仿宋" w:eastAsia="仿宋"/>
          <w:sz w:val="24"/>
        </w:rPr>
        <w:t>7）及时反馈技术处理过程中的异常情况，及时向采购人报告相关进展情况。</w:t>
      </w:r>
    </w:p>
    <w:p>
      <w:pPr>
        <w:pStyle w:val="null3"/>
        <w:spacing w:before="150" w:after="150"/>
        <w:ind w:firstLine="480"/>
      </w:pPr>
      <w:r>
        <w:rPr>
          <w:rFonts w:ascii="仿宋" w:hAnsi="仿宋" w:cs="仿宋" w:eastAsia="仿宋"/>
          <w:sz w:val="24"/>
        </w:rPr>
        <w:t>（</w:t>
      </w:r>
      <w:r>
        <w:rPr>
          <w:rFonts w:ascii="仿宋" w:hAnsi="仿宋" w:cs="仿宋" w:eastAsia="仿宋"/>
          <w:sz w:val="24"/>
        </w:rPr>
        <w:t>8）为提高本项目运维服务效率与服务质量的其它相关驻点工作。</w:t>
      </w:r>
    </w:p>
    <w:p>
      <w:pPr>
        <w:pStyle w:val="null3"/>
        <w:spacing w:before="150" w:after="150"/>
        <w:ind w:left="420"/>
      </w:pPr>
      <w:r>
        <w:rPr>
          <w:rFonts w:ascii="仿宋" w:hAnsi="仿宋" w:cs="仿宋" w:eastAsia="仿宋"/>
          <w:b/>
          <w:sz w:val="24"/>
        </w:rPr>
        <w:t>（指标项</w:t>
      </w:r>
      <w:r>
        <w:rPr>
          <w:rFonts w:ascii="仿宋" w:hAnsi="仿宋" w:cs="仿宋" w:eastAsia="仿宋"/>
          <w:b/>
          <w:sz w:val="24"/>
        </w:rPr>
        <w:t>4）</w:t>
      </w:r>
      <w:r>
        <w:rPr>
          <w:rFonts w:ascii="仿宋" w:hAnsi="仿宋" w:cs="仿宋" w:eastAsia="仿宋"/>
          <w:b/>
          <w:sz w:val="24"/>
        </w:rPr>
        <w:t>3.3远程技术支持服务</w:t>
      </w:r>
    </w:p>
    <w:p>
      <w:pPr>
        <w:pStyle w:val="null3"/>
        <w:spacing w:before="150" w:after="150"/>
        <w:ind w:firstLine="480"/>
      </w:pPr>
      <w:r>
        <w:rPr>
          <w:rFonts w:ascii="仿宋" w:hAnsi="仿宋" w:cs="仿宋" w:eastAsia="仿宋"/>
          <w:color w:val="000000"/>
          <w:sz w:val="24"/>
        </w:rPr>
        <w:t>投标人配置</w:t>
      </w:r>
      <w:r>
        <w:rPr>
          <w:rFonts w:ascii="仿宋" w:hAnsi="仿宋" w:cs="仿宋" w:eastAsia="仿宋"/>
          <w:color w:val="000000"/>
          <w:sz w:val="24"/>
        </w:rPr>
        <w:t>1名远程技术支持人员，并提供电话和邮箱，负责在7*24小时实时接收服务对外象的信息并进行及时的回复，解决运维项目发生的技术问题以及接听处理有关情况，并在30分钟内响应。</w:t>
      </w:r>
    </w:p>
    <w:p>
      <w:pPr>
        <w:pStyle w:val="null3"/>
        <w:spacing w:before="150" w:after="150"/>
        <w:ind w:left="420"/>
      </w:pPr>
      <w:r>
        <w:rPr>
          <w:rFonts w:ascii="仿宋" w:hAnsi="仿宋" w:cs="仿宋" w:eastAsia="仿宋"/>
          <w:b/>
          <w:sz w:val="24"/>
        </w:rPr>
        <w:t>（指标项</w:t>
      </w:r>
      <w:r>
        <w:rPr>
          <w:rFonts w:ascii="仿宋" w:hAnsi="仿宋" w:cs="仿宋" w:eastAsia="仿宋"/>
          <w:b/>
          <w:sz w:val="24"/>
        </w:rPr>
        <w:t>5）</w:t>
      </w:r>
      <w:r>
        <w:rPr>
          <w:rFonts w:ascii="仿宋" w:hAnsi="仿宋" w:cs="仿宋" w:eastAsia="仿宋"/>
          <w:b/>
          <w:sz w:val="24"/>
        </w:rPr>
        <w:t>3.4现场故障诊断及处理服务</w:t>
      </w:r>
    </w:p>
    <w:p>
      <w:pPr>
        <w:pStyle w:val="null3"/>
        <w:spacing w:before="150" w:after="150"/>
        <w:ind w:firstLine="480"/>
      </w:pPr>
      <w:r>
        <w:rPr>
          <w:rFonts w:ascii="仿宋" w:hAnsi="仿宋" w:cs="仿宋" w:eastAsia="仿宋"/>
          <w:sz w:val="24"/>
        </w:rPr>
        <w:t>当本项目出现远程技术支持及驻点技术人员都无法解决的问题时，中标人应安排资深技术人员提供现场故障诊断及处理服务，提出解决方案及处理方法。</w:t>
      </w:r>
    </w:p>
    <w:p>
      <w:pPr>
        <w:pStyle w:val="null3"/>
        <w:spacing w:before="150" w:after="150"/>
        <w:ind w:left="420"/>
      </w:pPr>
      <w:r>
        <w:rPr>
          <w:rFonts w:ascii="仿宋" w:hAnsi="仿宋" w:cs="仿宋" w:eastAsia="仿宋"/>
          <w:b/>
          <w:sz w:val="24"/>
        </w:rPr>
        <w:t>（指标项</w:t>
      </w:r>
      <w:r>
        <w:rPr>
          <w:rFonts w:ascii="仿宋" w:hAnsi="仿宋" w:cs="仿宋" w:eastAsia="仿宋"/>
          <w:b/>
          <w:sz w:val="24"/>
        </w:rPr>
        <w:t>6）</w:t>
      </w:r>
      <w:r>
        <w:rPr>
          <w:rFonts w:ascii="仿宋" w:hAnsi="仿宋" w:cs="仿宋" w:eastAsia="仿宋"/>
          <w:b/>
          <w:sz w:val="24"/>
        </w:rPr>
        <w:t>3.5技术会商服务</w:t>
      </w:r>
    </w:p>
    <w:p>
      <w:pPr>
        <w:pStyle w:val="null3"/>
        <w:spacing w:before="150" w:after="150"/>
        <w:ind w:firstLine="480"/>
      </w:pPr>
      <w:r>
        <w:rPr>
          <w:rFonts w:ascii="仿宋" w:hAnsi="仿宋" w:cs="仿宋" w:eastAsia="仿宋"/>
          <w:sz w:val="24"/>
        </w:rPr>
        <w:t>当本项目出现远程技术支持、驻点技术人员及资深技术人员都无法解决的问题时，中标人应组织相关技术专家进行现场技术会商，提出解决方案及处理方法。</w:t>
      </w:r>
    </w:p>
    <w:p>
      <w:pPr>
        <w:pStyle w:val="null3"/>
        <w:spacing w:before="150" w:after="150"/>
        <w:ind w:left="420"/>
      </w:pPr>
      <w:r>
        <w:rPr>
          <w:rFonts w:ascii="仿宋" w:hAnsi="仿宋" w:cs="仿宋" w:eastAsia="仿宋"/>
          <w:b/>
          <w:sz w:val="24"/>
        </w:rPr>
        <w:t>（指标项</w:t>
      </w:r>
      <w:r>
        <w:rPr>
          <w:rFonts w:ascii="仿宋" w:hAnsi="仿宋" w:cs="仿宋" w:eastAsia="仿宋"/>
          <w:b/>
          <w:sz w:val="24"/>
        </w:rPr>
        <w:t>7）</w:t>
      </w:r>
      <w:r>
        <w:rPr>
          <w:rFonts w:ascii="仿宋" w:hAnsi="仿宋" w:cs="仿宋" w:eastAsia="仿宋"/>
          <w:b/>
          <w:sz w:val="24"/>
        </w:rPr>
        <w:t>3.6应急运维服务</w:t>
      </w:r>
    </w:p>
    <w:p>
      <w:pPr>
        <w:pStyle w:val="null3"/>
        <w:spacing w:before="150" w:after="150"/>
        <w:ind w:firstLine="480"/>
      </w:pPr>
      <w:r>
        <w:rPr>
          <w:rFonts w:ascii="仿宋" w:hAnsi="仿宋" w:cs="仿宋" w:eastAsia="仿宋"/>
          <w:sz w:val="24"/>
        </w:rPr>
        <w:t>本项目日常使用过程中一旦出现紧急重大且暂时无法恢复的问题，且该问题会对业务开展产生重大的影响，中标人应需要启动应急服务预案，以保证业务能够正常开展。</w:t>
      </w:r>
    </w:p>
    <w:p>
      <w:pPr>
        <w:pStyle w:val="null3"/>
        <w:spacing w:before="150" w:after="150"/>
        <w:ind w:left="420"/>
      </w:pPr>
      <w:r>
        <w:rPr>
          <w:rFonts w:ascii="仿宋" w:hAnsi="仿宋" w:cs="仿宋" w:eastAsia="仿宋"/>
          <w:b/>
          <w:sz w:val="24"/>
        </w:rPr>
        <w:t>（指标项</w:t>
      </w:r>
      <w:r>
        <w:rPr>
          <w:rFonts w:ascii="仿宋" w:hAnsi="仿宋" w:cs="仿宋" w:eastAsia="仿宋"/>
          <w:b/>
          <w:sz w:val="24"/>
        </w:rPr>
        <w:t>8）</w:t>
      </w:r>
      <w:r>
        <w:rPr>
          <w:rFonts w:ascii="仿宋" w:hAnsi="仿宋" w:cs="仿宋" w:eastAsia="仿宋"/>
          <w:b/>
          <w:color w:val="000000"/>
          <w:sz w:val="24"/>
        </w:rPr>
        <w:t>3.7数据库巡检服务</w:t>
      </w:r>
    </w:p>
    <w:p>
      <w:pPr>
        <w:pStyle w:val="null3"/>
        <w:spacing w:before="150" w:after="150"/>
        <w:ind w:firstLine="480"/>
      </w:pPr>
      <w:r>
        <w:rPr>
          <w:rFonts w:ascii="仿宋" w:hAnsi="仿宋" w:cs="仿宋" w:eastAsia="仿宋"/>
          <w:sz w:val="24"/>
        </w:rPr>
        <w:t>对城市公交智能管理与服务平台数据库进行日常巡检工作</w:t>
      </w:r>
      <w:r>
        <w:rPr>
          <w:rFonts w:ascii="仿宋" w:hAnsi="仿宋" w:cs="仿宋" w:eastAsia="仿宋"/>
          <w:sz w:val="24"/>
        </w:rPr>
        <w:t>确保数据库能够正常平稳运行。</w:t>
      </w:r>
    </w:p>
    <w:p>
      <w:pPr>
        <w:pStyle w:val="null3"/>
        <w:spacing w:before="150" w:after="150"/>
        <w:ind w:left="420"/>
      </w:pPr>
      <w:r>
        <w:rPr>
          <w:rFonts w:ascii="仿宋" w:hAnsi="仿宋" w:cs="仿宋" w:eastAsia="仿宋"/>
          <w:b/>
          <w:sz w:val="24"/>
        </w:rPr>
        <w:t>（指标项</w:t>
      </w:r>
      <w:r>
        <w:rPr>
          <w:rFonts w:ascii="仿宋" w:hAnsi="仿宋" w:cs="仿宋" w:eastAsia="仿宋"/>
          <w:b/>
          <w:sz w:val="24"/>
        </w:rPr>
        <w:t>9）</w:t>
      </w:r>
      <w:r>
        <w:rPr>
          <w:rFonts w:ascii="仿宋" w:hAnsi="仿宋" w:cs="仿宋" w:eastAsia="仿宋"/>
          <w:b/>
          <w:sz w:val="24"/>
        </w:rPr>
        <w:t>3.8数据库维护和备份服务</w:t>
      </w:r>
    </w:p>
    <w:p>
      <w:pPr>
        <w:pStyle w:val="null3"/>
        <w:spacing w:before="150" w:after="150"/>
        <w:ind w:firstLine="480"/>
      </w:pPr>
      <w:r>
        <w:rPr>
          <w:rFonts w:ascii="仿宋" w:hAnsi="仿宋" w:cs="仿宋" w:eastAsia="仿宋"/>
          <w:sz w:val="24"/>
        </w:rPr>
        <w:t>确保省级城市公交智能管理与服务平台能够快速响应用户操作，同时对后台数据库进行故障修复、数据库优化及数据的备份恢复，确保数据库的安全。</w:t>
      </w:r>
    </w:p>
    <w:p>
      <w:pPr>
        <w:pStyle w:val="null3"/>
        <w:spacing w:before="150" w:after="150"/>
        <w:ind w:left="420"/>
      </w:pPr>
      <w:r>
        <w:rPr>
          <w:rFonts w:ascii="仿宋" w:hAnsi="仿宋" w:cs="仿宋" w:eastAsia="仿宋"/>
          <w:b/>
          <w:sz w:val="24"/>
        </w:rPr>
        <w:t>（指标项</w:t>
      </w:r>
      <w:r>
        <w:rPr>
          <w:rFonts w:ascii="仿宋" w:hAnsi="仿宋" w:cs="仿宋" w:eastAsia="仿宋"/>
          <w:b/>
          <w:sz w:val="24"/>
        </w:rPr>
        <w:t>10）</w:t>
      </w:r>
      <w:r>
        <w:rPr>
          <w:rFonts w:ascii="仿宋" w:hAnsi="仿宋" w:cs="仿宋" w:eastAsia="仿宋"/>
          <w:b/>
          <w:color w:val="000000"/>
          <w:sz w:val="24"/>
        </w:rPr>
        <w:t>3.9数据接口运维服务</w:t>
      </w:r>
    </w:p>
    <w:p>
      <w:pPr>
        <w:pStyle w:val="null3"/>
        <w:spacing w:before="150" w:after="150"/>
        <w:ind w:firstLine="480"/>
      </w:pPr>
      <w:r>
        <w:rPr>
          <w:rFonts w:ascii="仿宋" w:hAnsi="仿宋" w:cs="仿宋" w:eastAsia="仿宋"/>
          <w:sz w:val="24"/>
        </w:rPr>
        <w:t>本次运维项目需维护省级城市公交智能管理与服务平台与各系统之间的数据接口，确保各应用系统之间的数据正常交换，确保不同应用数据库交换通道的畅通。具体运维如下：</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416"/>
        <w:gridCol w:w="848"/>
        <w:gridCol w:w="1830"/>
        <w:gridCol w:w="1994"/>
        <w:gridCol w:w="1458"/>
        <w:gridCol w:w="1711"/>
      </w:tblGrid>
      <w:tr>
        <w:tc>
          <w:tcPr>
            <w:tcW w:type="dxa" w:w="416"/>
            <w:tcBorders>
              <w:top w:val="double" w:color="000000" w:sz="8"/>
              <w:left w:val="double" w:color="000000" w:sz="8"/>
              <w:bottom w:val="single" w:color="000000" w:sz="8"/>
              <w:right w:val="single" w:color="000000" w:sz="8"/>
            </w:tcBorders>
            <w:shd w:fill="BEBEBE"/>
            <w:tcMar>
              <w:top w:type="dxa" w:w="0"/>
              <w:left w:type="dxa" w:w="105"/>
              <w:bottom w:type="dxa" w:w="0"/>
              <w:right w:type="dxa" w:w="105"/>
            </w:tcMar>
            <w:vAlign w:val="top"/>
          </w:tcPr>
          <w:p>
            <w:pPr>
              <w:pStyle w:val="null3"/>
              <w:jc w:val="center"/>
            </w:pPr>
            <w:r>
              <w:rPr>
                <w:rFonts w:ascii="仿宋" w:hAnsi="仿宋" w:cs="仿宋" w:eastAsia="仿宋"/>
                <w:b/>
                <w:sz w:val="21"/>
              </w:rPr>
              <w:t>序号</w:t>
            </w:r>
          </w:p>
        </w:tc>
        <w:tc>
          <w:tcPr>
            <w:tcW w:type="dxa" w:w="848"/>
            <w:tcBorders>
              <w:top w:val="double" w:color="000000" w:sz="8"/>
              <w:left w:val="none" w:color="000000" w:sz="4"/>
              <w:bottom w:val="single" w:color="000000" w:sz="8"/>
              <w:right w:val="single" w:color="000000" w:sz="8"/>
            </w:tcBorders>
            <w:shd w:fill="BEBEBE"/>
            <w:tcMar>
              <w:top w:type="dxa" w:w="0"/>
              <w:left w:type="dxa" w:w="105"/>
              <w:bottom w:type="dxa" w:w="0"/>
              <w:right w:type="dxa" w:w="105"/>
            </w:tcMar>
            <w:vAlign w:val="top"/>
          </w:tcPr>
          <w:p>
            <w:pPr>
              <w:pStyle w:val="null3"/>
              <w:jc w:val="center"/>
            </w:pPr>
            <w:r>
              <w:rPr>
                <w:rFonts w:ascii="仿宋" w:hAnsi="仿宋" w:cs="仿宋" w:eastAsia="仿宋"/>
                <w:b/>
                <w:sz w:val="21"/>
              </w:rPr>
              <w:t>项目</w:t>
            </w:r>
          </w:p>
          <w:p>
            <w:pPr>
              <w:pStyle w:val="null3"/>
              <w:jc w:val="center"/>
            </w:pPr>
            <w:r>
              <w:rPr>
                <w:rFonts w:ascii="仿宋" w:hAnsi="仿宋" w:cs="仿宋" w:eastAsia="仿宋"/>
                <w:b/>
                <w:sz w:val="21"/>
              </w:rPr>
              <w:t>名称</w:t>
            </w:r>
          </w:p>
        </w:tc>
        <w:tc>
          <w:tcPr>
            <w:tcW w:type="dxa" w:w="1830"/>
            <w:tcBorders>
              <w:top w:val="double" w:color="000000" w:sz="8"/>
              <w:left w:val="none" w:color="000000" w:sz="4"/>
              <w:bottom w:val="single" w:color="000000" w:sz="8"/>
              <w:right w:val="single" w:color="000000" w:sz="8"/>
            </w:tcBorders>
            <w:shd w:fill="BEBEBE"/>
            <w:tcMar>
              <w:top w:type="dxa" w:w="0"/>
              <w:left w:type="dxa" w:w="105"/>
              <w:bottom w:type="dxa" w:w="0"/>
              <w:right w:type="dxa" w:w="105"/>
            </w:tcMar>
            <w:vAlign w:val="top"/>
          </w:tcPr>
          <w:p>
            <w:pPr>
              <w:pStyle w:val="null3"/>
              <w:jc w:val="center"/>
            </w:pPr>
            <w:r>
              <w:rPr>
                <w:rFonts w:ascii="仿宋" w:hAnsi="仿宋" w:cs="仿宋" w:eastAsia="仿宋"/>
                <w:b/>
                <w:sz w:val="21"/>
              </w:rPr>
              <w:t>服务</w:t>
            </w:r>
          </w:p>
          <w:p>
            <w:pPr>
              <w:pStyle w:val="null3"/>
              <w:jc w:val="center"/>
            </w:pPr>
            <w:r>
              <w:rPr>
                <w:rFonts w:ascii="仿宋" w:hAnsi="仿宋" w:cs="仿宋" w:eastAsia="仿宋"/>
                <w:b/>
                <w:sz w:val="21"/>
              </w:rPr>
              <w:t>项目</w:t>
            </w:r>
          </w:p>
        </w:tc>
        <w:tc>
          <w:tcPr>
            <w:tcW w:type="dxa" w:w="1994"/>
            <w:tcBorders>
              <w:top w:val="double" w:color="000000" w:sz="8"/>
              <w:left w:val="none" w:color="000000" w:sz="4"/>
              <w:bottom w:val="single" w:color="000000" w:sz="8"/>
              <w:right w:val="single" w:color="000000" w:sz="8"/>
            </w:tcBorders>
            <w:shd w:fill="BEBEBE"/>
            <w:tcMar>
              <w:top w:type="dxa" w:w="0"/>
              <w:left w:type="dxa" w:w="105"/>
              <w:bottom w:type="dxa" w:w="0"/>
              <w:right w:type="dxa" w:w="105"/>
            </w:tcMar>
            <w:vAlign w:val="top"/>
          </w:tcPr>
          <w:p>
            <w:pPr>
              <w:pStyle w:val="null3"/>
              <w:jc w:val="center"/>
            </w:pPr>
            <w:r>
              <w:rPr>
                <w:rFonts w:ascii="仿宋" w:hAnsi="仿宋" w:cs="仿宋" w:eastAsia="仿宋"/>
                <w:b/>
                <w:sz w:val="21"/>
              </w:rPr>
              <w:t>维护内容说明</w:t>
            </w:r>
          </w:p>
        </w:tc>
        <w:tc>
          <w:tcPr>
            <w:tcW w:type="dxa" w:w="1458"/>
            <w:tcBorders>
              <w:top w:val="double" w:color="000000" w:sz="8"/>
              <w:left w:val="none" w:color="000000" w:sz="4"/>
              <w:bottom w:val="single" w:color="000000" w:sz="8"/>
              <w:right w:val="single" w:color="000000" w:sz="8"/>
            </w:tcBorders>
            <w:shd w:fill="BEBEBE"/>
            <w:tcMar>
              <w:top w:type="dxa" w:w="0"/>
              <w:left w:type="dxa" w:w="105"/>
              <w:bottom w:type="dxa" w:w="0"/>
              <w:right w:type="dxa" w:w="105"/>
            </w:tcMar>
            <w:vAlign w:val="top"/>
          </w:tcPr>
          <w:p>
            <w:pPr>
              <w:pStyle w:val="null3"/>
              <w:jc w:val="center"/>
            </w:pPr>
            <w:r>
              <w:rPr>
                <w:rFonts w:ascii="仿宋" w:hAnsi="仿宋" w:cs="仿宋" w:eastAsia="仿宋"/>
                <w:b/>
                <w:sz w:val="21"/>
              </w:rPr>
              <w:t>服务频度</w:t>
            </w:r>
          </w:p>
        </w:tc>
        <w:tc>
          <w:tcPr>
            <w:tcW w:type="dxa" w:w="1711"/>
            <w:tcBorders>
              <w:top w:val="double" w:color="000000" w:sz="8"/>
              <w:left w:val="none" w:color="000000" w:sz="4"/>
              <w:bottom w:val="single" w:color="000000" w:sz="8"/>
              <w:right w:val="double" w:color="000000" w:sz="8"/>
            </w:tcBorders>
            <w:shd w:fill="BEBEBE"/>
            <w:tcMar>
              <w:top w:type="dxa" w:w="0"/>
              <w:left w:type="dxa" w:w="105"/>
              <w:bottom w:type="dxa" w:w="0"/>
              <w:right w:type="dxa" w:w="105"/>
            </w:tcMar>
            <w:vAlign w:val="top"/>
          </w:tcPr>
          <w:p>
            <w:pPr>
              <w:pStyle w:val="null3"/>
              <w:jc w:val="center"/>
            </w:pPr>
            <w:r>
              <w:rPr>
                <w:rFonts w:ascii="仿宋" w:hAnsi="仿宋" w:cs="仿宋" w:eastAsia="仿宋"/>
                <w:b/>
                <w:sz w:val="21"/>
              </w:rPr>
              <w:t>交付成果</w:t>
            </w:r>
          </w:p>
        </w:tc>
      </w:tr>
      <w:tr>
        <w:tc>
          <w:tcPr>
            <w:tcW w:type="dxa" w:w="416"/>
            <w:vMerge w:val="restart"/>
            <w:tcBorders>
              <w:top w:val="none" w:color="000000" w:sz="4"/>
              <w:left w:val="double" w:color="000000" w:sz="8"/>
              <w:bottom w:val="none" w:color="000000" w:sz="4"/>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b/>
                <w:sz w:val="21"/>
              </w:rPr>
              <w:t>1</w:t>
            </w:r>
          </w:p>
        </w:tc>
        <w:tc>
          <w:tcPr>
            <w:tcW w:type="dxa" w:w="848"/>
            <w:vMerge w:val="restart"/>
            <w:tcBorders>
              <w:top w:val="none" w:color="000000" w:sz="4"/>
              <w:left w:val="none" w:color="000000" w:sz="4"/>
              <w:bottom w:val="none" w:color="000000" w:sz="4"/>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1"/>
              </w:rPr>
              <w:t>省城市公交智能管理与服务平台</w:t>
            </w:r>
          </w:p>
        </w:tc>
        <w:tc>
          <w:tcPr>
            <w:tcW w:type="dxa" w:w="1830"/>
            <w:vMerge w:val="restart"/>
            <w:tcBorders>
              <w:top w:val="none" w:color="000000" w:sz="4"/>
              <w:left w:val="none" w:color="000000" w:sz="4"/>
              <w:bottom w:val="none" w:color="000000" w:sz="4"/>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1"/>
              </w:rPr>
              <w:t>数据共享对接</w:t>
            </w:r>
          </w:p>
        </w:tc>
        <w:tc>
          <w:tcPr>
            <w:tcW w:type="dxa" w:w="19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sz w:val="21"/>
              </w:rPr>
              <w:t>负责福建省城市公交智能管理与服务平台省级平台与市级平台的数据传输接口运行保障工作</w:t>
            </w:r>
          </w:p>
        </w:tc>
        <w:tc>
          <w:tcPr>
            <w:tcW w:type="dxa" w:w="14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1"/>
              </w:rPr>
              <w:t>每日</w:t>
            </w:r>
          </w:p>
        </w:tc>
        <w:tc>
          <w:tcPr>
            <w:tcW w:type="dxa" w:w="1711"/>
            <w:tcBorders>
              <w:top w:val="none" w:color="000000" w:sz="4"/>
              <w:left w:val="none" w:color="000000" w:sz="4"/>
              <w:bottom w:val="single" w:color="000000" w:sz="8"/>
              <w:right w:val="double" w:color="000000" w:sz="8"/>
            </w:tcBorders>
            <w:tcMar>
              <w:top w:type="dxa" w:w="0"/>
              <w:left w:type="dxa" w:w="105"/>
              <w:bottom w:type="dxa" w:w="0"/>
              <w:right w:type="dxa" w:w="105"/>
            </w:tcMar>
            <w:vAlign w:val="top"/>
          </w:tcPr>
          <w:p>
            <w:pPr>
              <w:pStyle w:val="null3"/>
              <w:jc w:val="center"/>
            </w:pPr>
            <w:r>
              <w:rPr>
                <w:rFonts w:ascii="仿宋" w:hAnsi="仿宋" w:cs="仿宋" w:eastAsia="仿宋"/>
                <w:sz w:val="21"/>
              </w:rPr>
              <w:t>《省市平台接口服务巡检记录表》</w:t>
            </w:r>
          </w:p>
        </w:tc>
      </w:tr>
      <w:tr>
        <w:tc>
          <w:tcPr>
            <w:tcW w:type="dxa" w:w="416"/>
            <w:vMerge/>
            <w:tcBorders>
              <w:top w:val="none" w:color="000000" w:sz="4"/>
              <w:left w:val="double" w:color="000000" w:sz="8"/>
              <w:bottom w:val="none" w:color="000000" w:sz="4"/>
              <w:right w:val="single" w:color="000000" w:sz="8"/>
            </w:tcBorders>
          </w:tcPr>
          <w:p/>
        </w:tc>
        <w:tc>
          <w:tcPr>
            <w:tcW w:type="dxa" w:w="848"/>
            <w:vMerge/>
            <w:tcBorders>
              <w:top w:val="none" w:color="000000" w:sz="4"/>
              <w:left w:val="none" w:color="000000" w:sz="4"/>
              <w:bottom w:val="none" w:color="000000" w:sz="4"/>
              <w:right w:val="single" w:color="000000" w:sz="8"/>
            </w:tcBorders>
          </w:tcPr>
          <w:p/>
        </w:tc>
        <w:tc>
          <w:tcPr>
            <w:tcW w:type="dxa" w:w="1830"/>
            <w:vMerge/>
            <w:tcBorders>
              <w:top w:val="none" w:color="000000" w:sz="4"/>
              <w:left w:val="none" w:color="000000" w:sz="4"/>
              <w:bottom w:val="none" w:color="000000" w:sz="4"/>
              <w:right w:val="single" w:color="000000" w:sz="8"/>
            </w:tcBorders>
          </w:tcPr>
          <w:p/>
        </w:tc>
        <w:tc>
          <w:tcPr>
            <w:tcW w:type="dxa" w:w="19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sz w:val="21"/>
              </w:rPr>
              <w:t>省交通数据汇聚平台的数据传输接口运行保障工作</w:t>
            </w:r>
          </w:p>
        </w:tc>
        <w:tc>
          <w:tcPr>
            <w:tcW w:type="dxa" w:w="14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1"/>
              </w:rPr>
              <w:t>每季度</w:t>
            </w:r>
          </w:p>
        </w:tc>
        <w:tc>
          <w:tcPr>
            <w:tcW w:type="dxa" w:w="1711"/>
            <w:tcBorders>
              <w:top w:val="none" w:color="000000" w:sz="4"/>
              <w:left w:val="none" w:color="000000" w:sz="4"/>
              <w:bottom w:val="single" w:color="000000" w:sz="8"/>
              <w:right w:val="double" w:color="000000" w:sz="8"/>
            </w:tcBorders>
            <w:tcMar>
              <w:top w:type="dxa" w:w="0"/>
              <w:left w:type="dxa" w:w="105"/>
              <w:bottom w:type="dxa" w:w="0"/>
              <w:right w:type="dxa" w:w="105"/>
            </w:tcMar>
            <w:vAlign w:val="top"/>
          </w:tcPr>
          <w:p>
            <w:pPr>
              <w:pStyle w:val="null3"/>
              <w:jc w:val="center"/>
            </w:pPr>
            <w:r>
              <w:rPr>
                <w:rFonts w:ascii="仿宋" w:hAnsi="仿宋" w:cs="仿宋" w:eastAsia="仿宋"/>
                <w:sz w:val="21"/>
              </w:rPr>
              <w:t>《省级汇聚平台数据传输报告》</w:t>
            </w:r>
          </w:p>
        </w:tc>
      </w:tr>
    </w:tbl>
    <w:p>
      <w:pPr>
        <w:pStyle w:val="null3"/>
        <w:spacing w:before="150" w:after="150"/>
        <w:ind w:left="420"/>
      </w:pPr>
      <w:r>
        <w:rPr>
          <w:rFonts w:ascii="仿宋" w:hAnsi="仿宋" w:cs="仿宋" w:eastAsia="仿宋"/>
          <w:sz w:val="24"/>
        </w:rPr>
        <w:t>★</w:t>
      </w:r>
      <w:r>
        <w:rPr>
          <w:rFonts w:ascii="仿宋" w:hAnsi="仿宋" w:cs="仿宋" w:eastAsia="仿宋"/>
          <w:b/>
          <w:sz w:val="24"/>
        </w:rPr>
        <w:t>3.10分级响应服务</w:t>
      </w:r>
    </w:p>
    <w:p>
      <w:pPr>
        <w:pStyle w:val="null3"/>
        <w:spacing w:before="150" w:after="150"/>
        <w:ind w:firstLine="480"/>
      </w:pPr>
      <w:r>
        <w:rPr>
          <w:rFonts w:ascii="仿宋" w:hAnsi="仿宋" w:cs="仿宋" w:eastAsia="仿宋"/>
          <w:sz w:val="24"/>
        </w:rPr>
        <w:t>针对本项目出现的问题，根据紧急程度及产生的影响进行级别划分，并采取不同的处理方法。</w:t>
      </w:r>
    </w:p>
    <w:p>
      <w:pPr>
        <w:pStyle w:val="null3"/>
        <w:spacing w:before="150" w:after="150"/>
        <w:ind w:firstLine="480"/>
      </w:pPr>
      <w:r>
        <w:rPr>
          <w:rFonts w:ascii="仿宋" w:hAnsi="仿宋" w:cs="仿宋" w:eastAsia="仿宋"/>
          <w:sz w:val="24"/>
        </w:rPr>
        <w:t>IV级情况。属于普通问题,其具体现象为：不影响系统的基本功能，能够基本满足正常业务的需求。要求在30分钟响应，2小时内提交处理方案，5天内完成故障处理。</w:t>
      </w:r>
    </w:p>
    <w:p>
      <w:pPr>
        <w:pStyle w:val="null3"/>
        <w:spacing w:before="150" w:after="150"/>
        <w:ind w:firstLine="480"/>
      </w:pPr>
      <w:r>
        <w:rPr>
          <w:rFonts w:ascii="仿宋" w:hAnsi="仿宋" w:cs="仿宋" w:eastAsia="仿宋"/>
          <w:sz w:val="24"/>
        </w:rPr>
        <w:t>III级情况。属于较严重问题，其具体现象为：出现系统报错或警告，但业务系统能继续运行且性能不受影响。要求在30分钟响应，48小时内完成故障处理。</w:t>
      </w:r>
    </w:p>
    <w:p>
      <w:pPr>
        <w:pStyle w:val="null3"/>
        <w:spacing w:before="150" w:after="150"/>
        <w:ind w:firstLine="480"/>
      </w:pPr>
      <w:r>
        <w:rPr>
          <w:rFonts w:ascii="仿宋" w:hAnsi="仿宋" w:cs="仿宋" w:eastAsia="仿宋"/>
          <w:sz w:val="24"/>
        </w:rPr>
        <w:t>II级情况。属于严重问题，其具体现象为：出现部分业务功能失效、系统性能下降等问题，但能正常运行，不影响正常业务运作。要求在30分钟响应，24小时内完成故障处理。</w:t>
      </w:r>
    </w:p>
    <w:p>
      <w:pPr>
        <w:pStyle w:val="null3"/>
        <w:spacing w:before="150" w:after="150"/>
        <w:ind w:firstLine="480"/>
      </w:pPr>
      <w:r>
        <w:rPr>
          <w:rFonts w:ascii="仿宋" w:hAnsi="仿宋" w:cs="仿宋" w:eastAsia="仿宋"/>
          <w:sz w:val="24"/>
        </w:rPr>
        <w:t>I级情况。属于紧急问题；其具体现象为：系统崩溃导致业务停止、数据丢失、项目单位安全管理部门提出的安全防护、漏洞修复、安全补丁等事件要求。要求在30分钟响应，12小时内完成故障处理</w:t>
      </w:r>
      <w:r>
        <w:rPr>
          <w:rFonts w:ascii="仿宋" w:hAnsi="仿宋" w:cs="仿宋" w:eastAsia="仿宋"/>
          <w:color w:val="000000"/>
          <w:sz w:val="24"/>
        </w:rPr>
        <w:t>。</w:t>
      </w:r>
    </w:p>
    <w:p>
      <w:pPr>
        <w:pStyle w:val="null3"/>
        <w:spacing w:before="150" w:after="150"/>
        <w:ind w:firstLine="480"/>
      </w:pPr>
      <w:r>
        <w:rPr>
          <w:rFonts w:ascii="仿宋" w:hAnsi="仿宋" w:cs="仿宋" w:eastAsia="仿宋"/>
          <w:sz w:val="24"/>
        </w:rPr>
        <w:t>对于</w:t>
      </w:r>
      <w:r>
        <w:rPr>
          <w:rFonts w:ascii="仿宋" w:hAnsi="仿宋" w:cs="仿宋" w:eastAsia="仿宋"/>
          <w:sz w:val="24"/>
        </w:rPr>
        <w:t>“系统瘫痪，业务系统不能运转”的故障级别，如果不能于12小时内解决故障，应在16小时内提出应急方案，确保业务系统的运行。故障解决后24小时内，提交故障处理报告，说明故障种类、故障原因、故障解决中使用的方法及故障损失等情况。如果确实无法按时解决，应提供替代性解决办法，并在与中心协商沟通的基础上确定完成时限。技术支持人员在解决故障时，应最大限度保护好数据，做好故障恢复的文档，保证恢复到故障点前的业务状态。</w:t>
      </w:r>
    </w:p>
    <w:p>
      <w:pPr>
        <w:pStyle w:val="null3"/>
        <w:spacing w:before="150" w:after="150"/>
        <w:ind w:left="420"/>
      </w:pPr>
      <w:r>
        <w:rPr>
          <w:rFonts w:ascii="仿宋" w:hAnsi="仿宋" w:cs="仿宋" w:eastAsia="仿宋"/>
          <w:b/>
          <w:sz w:val="24"/>
        </w:rPr>
        <w:t>（指标项</w:t>
      </w:r>
      <w:r>
        <w:rPr>
          <w:rFonts w:ascii="仿宋" w:hAnsi="仿宋" w:cs="仿宋" w:eastAsia="仿宋"/>
          <w:b/>
          <w:sz w:val="24"/>
        </w:rPr>
        <w:t>11）</w:t>
      </w:r>
      <w:r>
        <w:rPr>
          <w:rFonts w:ascii="仿宋" w:hAnsi="仿宋" w:cs="仿宋" w:eastAsia="仿宋"/>
          <w:b/>
          <w:sz w:val="24"/>
        </w:rPr>
        <w:t>3.11运维服务团队</w:t>
      </w:r>
    </w:p>
    <w:p>
      <w:pPr>
        <w:pStyle w:val="null3"/>
        <w:spacing w:before="150" w:after="150"/>
        <w:ind w:firstLine="480"/>
      </w:pPr>
      <w:r>
        <w:rPr>
          <w:rFonts w:ascii="仿宋" w:hAnsi="仿宋" w:cs="仿宋" w:eastAsia="仿宋"/>
          <w:sz w:val="24"/>
        </w:rPr>
        <w:t>本项目运维团队主要由项目组组长、驻点运维技术人员、远程技术支持人员组成，分别为运维项目组组长</w:t>
      </w:r>
      <w:r>
        <w:rPr>
          <w:rFonts w:ascii="仿宋" w:hAnsi="仿宋" w:cs="仿宋" w:eastAsia="仿宋"/>
          <w:sz w:val="24"/>
        </w:rPr>
        <w:t>1名、驻点运维技术人员1名、远程技术支持人员1名。</w:t>
      </w:r>
    </w:p>
    <w:p>
      <w:pPr>
        <w:pStyle w:val="null3"/>
        <w:spacing w:before="150" w:after="150"/>
        <w:ind w:firstLine="480"/>
      </w:pPr>
      <w:r>
        <w:rPr>
          <w:rFonts w:ascii="仿宋" w:hAnsi="仿宋" w:cs="仿宋" w:eastAsia="仿宋"/>
          <w:sz w:val="24"/>
        </w:rPr>
        <w:t>团队需保持相对稳定性，如人员发生更换或撤离须经过同意才可进行。运维团队人员执行驻点单位作息时间，在工作时间内须坚守岗位。具体如下表所示：</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779"/>
        <w:gridCol w:w="1364"/>
        <w:gridCol w:w="689"/>
        <w:gridCol w:w="3178"/>
        <w:gridCol w:w="2248"/>
      </w:tblGrid>
      <w:tr>
        <w:tc>
          <w:tcPr>
            <w:tcW w:type="dxa" w:w="779"/>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b/>
                <w:sz w:val="24"/>
              </w:rPr>
              <w:t>序号</w:t>
            </w:r>
          </w:p>
        </w:tc>
        <w:tc>
          <w:tcPr>
            <w:tcW w:type="dxa" w:w="136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b/>
                <w:sz w:val="24"/>
              </w:rPr>
              <w:t>岗位名称</w:t>
            </w:r>
          </w:p>
        </w:tc>
        <w:tc>
          <w:tcPr>
            <w:tcW w:type="dxa" w:w="68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b/>
                <w:sz w:val="24"/>
              </w:rPr>
              <w:t>人数</w:t>
            </w:r>
          </w:p>
        </w:tc>
        <w:tc>
          <w:tcPr>
            <w:tcW w:type="dxa" w:w="317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b/>
                <w:sz w:val="24"/>
              </w:rPr>
              <w:t>岗位职责</w:t>
            </w:r>
          </w:p>
        </w:tc>
        <w:tc>
          <w:tcPr>
            <w:tcW w:type="dxa" w:w="224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b/>
                <w:sz w:val="24"/>
              </w:rPr>
              <w:t>岗位要求</w:t>
            </w: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1</w:t>
            </w:r>
          </w:p>
        </w:tc>
        <w:tc>
          <w:tcPr>
            <w:tcW w:type="dxa" w:w="13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项目组组长</w:t>
            </w:r>
          </w:p>
        </w:tc>
        <w:tc>
          <w:tcPr>
            <w:tcW w:type="dxa" w:w="68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1</w:t>
            </w:r>
          </w:p>
        </w:tc>
        <w:tc>
          <w:tcPr>
            <w:tcW w:type="dxa" w:w="31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根据项目的要求制定相对应的规章、流程，并负责对驻点及远程技术人员进行管理，对运维工程进行指导、监督、检查，作为项目统一接口人负责定期进行沟通。评估日常运维效果，制定和实施改进方案，提升运维效率和质量。</w:t>
            </w:r>
          </w:p>
        </w:tc>
        <w:tc>
          <w:tcPr>
            <w:tcW w:type="dxa" w:w="22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numPr>
                <w:ilvl w:val="0"/>
                <w:numId w:val="1"/>
              </w:numPr>
              <w:spacing w:before="150" w:after="150"/>
            </w:pPr>
            <w:r>
              <w:rPr>
                <w:rFonts w:ascii="仿宋" w:hAnsi="仿宋" w:cs="仿宋" w:eastAsia="仿宋"/>
                <w:sz w:val="24"/>
              </w:rPr>
              <w:t>具备</w:t>
            </w:r>
            <w:r>
              <w:rPr>
                <w:rFonts w:ascii="仿宋" w:hAnsi="仿宋" w:cs="仿宋" w:eastAsia="仿宋"/>
                <w:sz w:val="24"/>
              </w:rPr>
              <w:t>2年以上运维管理工作经验。</w:t>
            </w:r>
          </w:p>
          <w:p>
            <w:pPr>
              <w:pStyle w:val="null3"/>
              <w:numPr>
                <w:ilvl w:val="0"/>
                <w:numId w:val="1"/>
              </w:numPr>
              <w:spacing w:before="150" w:after="150"/>
            </w:pPr>
            <w:r>
              <w:rPr>
                <w:rFonts w:ascii="仿宋" w:hAnsi="仿宋" w:cs="仿宋" w:eastAsia="仿宋"/>
                <w:sz w:val="24"/>
              </w:rPr>
              <w:t>熟悉日常运维管理流程、运维管理工具。具有良好的沟通、管理能力。</w:t>
            </w: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2</w:t>
            </w:r>
          </w:p>
        </w:tc>
        <w:tc>
          <w:tcPr>
            <w:tcW w:type="dxa" w:w="13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驻点运维技术人员</w:t>
            </w:r>
          </w:p>
        </w:tc>
        <w:tc>
          <w:tcPr>
            <w:tcW w:type="dxa" w:w="68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1</w:t>
            </w:r>
          </w:p>
        </w:tc>
        <w:tc>
          <w:tcPr>
            <w:tcW w:type="dxa" w:w="31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1、专职负责本项目的运维工作，对项目涉及的软件进行改正性、适应性、完善性、维护性、预防性维护。</w:t>
            </w:r>
          </w:p>
          <w:p>
            <w:pPr>
              <w:pStyle w:val="null3"/>
              <w:spacing w:before="150" w:after="150"/>
            </w:pPr>
            <w:r>
              <w:rPr>
                <w:rFonts w:ascii="仿宋" w:hAnsi="仿宋" w:cs="仿宋" w:eastAsia="仿宋"/>
                <w:sz w:val="24"/>
              </w:rPr>
              <w:t>2、负责受理客户申告的故障事情，负责故障源的定位，并在限定的时间内解决问题并做好记录。</w:t>
            </w:r>
          </w:p>
          <w:p>
            <w:pPr>
              <w:pStyle w:val="null3"/>
              <w:spacing w:before="150" w:after="150"/>
            </w:pPr>
            <w:r>
              <w:rPr>
                <w:rFonts w:ascii="仿宋" w:hAnsi="仿宋" w:cs="仿宋" w:eastAsia="仿宋"/>
                <w:sz w:val="24"/>
              </w:rPr>
              <w:t>3、遇到无法解决的故障则及时上报运维项目经理并跟进，直到故障解决。</w:t>
            </w:r>
          </w:p>
          <w:p>
            <w:pPr>
              <w:pStyle w:val="null3"/>
              <w:spacing w:before="150" w:after="150"/>
            </w:pPr>
            <w:r>
              <w:rPr>
                <w:rFonts w:ascii="仿宋" w:hAnsi="仿宋" w:cs="仿宋" w:eastAsia="仿宋"/>
                <w:sz w:val="24"/>
              </w:rPr>
              <w:t>4、负责完成项目组长下达的其他任务。</w:t>
            </w:r>
          </w:p>
        </w:tc>
        <w:tc>
          <w:tcPr>
            <w:tcW w:type="dxa" w:w="22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1、熟悉计算机软、硬件的专业知识。</w:t>
            </w:r>
          </w:p>
          <w:p>
            <w:pPr>
              <w:pStyle w:val="null3"/>
              <w:spacing w:before="150" w:after="150"/>
            </w:pPr>
            <w:r>
              <w:rPr>
                <w:rFonts w:ascii="仿宋" w:hAnsi="仿宋" w:cs="仿宋" w:eastAsia="仿宋"/>
                <w:sz w:val="24"/>
              </w:rPr>
              <w:t>2、具备1年以上项目运维经验。</w:t>
            </w: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3</w:t>
            </w:r>
          </w:p>
        </w:tc>
        <w:tc>
          <w:tcPr>
            <w:tcW w:type="dxa" w:w="13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运程技术支持人员</w:t>
            </w:r>
          </w:p>
        </w:tc>
        <w:tc>
          <w:tcPr>
            <w:tcW w:type="dxa" w:w="68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1</w:t>
            </w:r>
          </w:p>
        </w:tc>
        <w:tc>
          <w:tcPr>
            <w:tcW w:type="dxa" w:w="31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numPr>
                <w:ilvl w:val="0"/>
                <w:numId w:val="1"/>
              </w:numPr>
              <w:spacing w:before="150" w:after="150"/>
            </w:pPr>
            <w:r>
              <w:rPr>
                <w:rFonts w:ascii="仿宋" w:hAnsi="仿宋" w:cs="仿宋" w:eastAsia="仿宋"/>
                <w:sz w:val="24"/>
              </w:rPr>
              <w:t>提供电话及邮箱，负责接收福建省交通信息通信与应急中心的咨询信息及时回复。</w:t>
            </w:r>
          </w:p>
          <w:p>
            <w:pPr>
              <w:pStyle w:val="null3"/>
              <w:numPr>
                <w:ilvl w:val="0"/>
                <w:numId w:val="1"/>
              </w:numPr>
              <w:spacing w:before="150" w:after="150"/>
            </w:pPr>
            <w:r>
              <w:rPr>
                <w:rFonts w:ascii="仿宋" w:hAnsi="仿宋" w:cs="仿宋" w:eastAsia="仿宋"/>
                <w:sz w:val="24"/>
              </w:rPr>
              <w:t>提供</w:t>
            </w:r>
            <w:r>
              <w:rPr>
                <w:rFonts w:ascii="仿宋" w:hAnsi="仿宋" w:cs="仿宋" w:eastAsia="仿宋"/>
                <w:sz w:val="24"/>
              </w:rPr>
              <w:t>7*24小时免费应急电话咨询服务。</w:t>
            </w:r>
          </w:p>
        </w:tc>
        <w:tc>
          <w:tcPr>
            <w:tcW w:type="dxa" w:w="22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1、熟悉计算机软、硬件的专业知识。</w:t>
            </w:r>
          </w:p>
          <w:p>
            <w:pPr>
              <w:pStyle w:val="null3"/>
              <w:spacing w:before="150" w:after="150"/>
            </w:pPr>
            <w:r>
              <w:rPr>
                <w:rFonts w:ascii="仿宋" w:hAnsi="仿宋" w:cs="仿宋" w:eastAsia="仿宋"/>
                <w:sz w:val="24"/>
              </w:rPr>
              <w:t>2、具备2年以上项目运维经验。</w:t>
            </w:r>
          </w:p>
        </w:tc>
      </w:tr>
    </w:tbl>
    <w:p>
      <w:pPr>
        <w:pStyle w:val="null3"/>
        <w:spacing w:before="150" w:after="150"/>
        <w:ind w:left="420"/>
      </w:pPr>
      <w:r>
        <w:rPr>
          <w:rFonts w:ascii="仿宋" w:hAnsi="仿宋" w:cs="仿宋" w:eastAsia="仿宋"/>
          <w:b/>
          <w:sz w:val="24"/>
        </w:rPr>
        <w:t>（指标项</w:t>
      </w:r>
      <w:r>
        <w:rPr>
          <w:rFonts w:ascii="仿宋" w:hAnsi="仿宋" w:cs="仿宋" w:eastAsia="仿宋"/>
          <w:b/>
          <w:sz w:val="24"/>
        </w:rPr>
        <w:t>12）</w:t>
      </w:r>
      <w:r>
        <w:rPr>
          <w:rFonts w:ascii="仿宋" w:hAnsi="仿宋" w:cs="仿宋" w:eastAsia="仿宋"/>
          <w:b/>
          <w:sz w:val="27"/>
        </w:rPr>
        <w:t>3.12电话咨询服务</w:t>
      </w:r>
    </w:p>
    <w:p>
      <w:pPr>
        <w:pStyle w:val="null3"/>
        <w:spacing w:before="150" w:after="150"/>
        <w:ind w:firstLine="480"/>
      </w:pPr>
      <w:r>
        <w:rPr>
          <w:rFonts w:ascii="仿宋" w:hAnsi="仿宋" w:cs="仿宋" w:eastAsia="仿宋"/>
          <w:sz w:val="24"/>
        </w:rPr>
        <w:t>在运维期间，应向所有运行维护服务对象提供电话热线，提供业务和技术咨询服务。在</w:t>
      </w:r>
      <w:r>
        <w:rPr>
          <w:rFonts w:ascii="仿宋" w:hAnsi="仿宋" w:cs="仿宋" w:eastAsia="仿宋"/>
          <w:sz w:val="24"/>
        </w:rPr>
        <w:t>5*8小时工作时间内设置客服电话，接听内部的服务请求，并记录服务台事件处理结果；在非工作时间（含节假日）7*24小时接听手机热线，用于解决运维项目发生的技术问题以及接听处理有关情况，并在30分钟内响应。</w:t>
      </w:r>
    </w:p>
    <w:p>
      <w:pPr>
        <w:pStyle w:val="null3"/>
        <w:spacing w:before="150" w:after="150"/>
        <w:ind w:left="420"/>
      </w:pPr>
      <w:r>
        <w:rPr>
          <w:rFonts w:ascii="仿宋" w:hAnsi="仿宋" w:cs="仿宋" w:eastAsia="仿宋"/>
          <w:b/>
          <w:sz w:val="24"/>
        </w:rPr>
        <w:t>（指标项</w:t>
      </w:r>
      <w:r>
        <w:rPr>
          <w:rFonts w:ascii="仿宋" w:hAnsi="仿宋" w:cs="仿宋" w:eastAsia="仿宋"/>
          <w:b/>
          <w:sz w:val="24"/>
        </w:rPr>
        <w:t>13）</w:t>
      </w:r>
      <w:r>
        <w:rPr>
          <w:rFonts w:ascii="仿宋" w:hAnsi="仿宋" w:cs="仿宋" w:eastAsia="仿宋"/>
          <w:b/>
          <w:sz w:val="24"/>
        </w:rPr>
        <w:t>3.1</w:t>
      </w:r>
      <w:r>
        <w:rPr>
          <w:rFonts w:ascii="仿宋" w:hAnsi="仿宋" w:cs="仿宋" w:eastAsia="仿宋"/>
          <w:b/>
          <w:color w:val="000000"/>
          <w:sz w:val="24"/>
        </w:rPr>
        <w:t>3维护服务材料交付</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779"/>
        <w:gridCol w:w="2098"/>
        <w:gridCol w:w="2638"/>
        <w:gridCol w:w="2758"/>
      </w:tblGrid>
      <w:tr>
        <w:tc>
          <w:tcPr>
            <w:tcW w:type="dxa" w:w="779"/>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b/>
                <w:sz w:val="24"/>
              </w:rPr>
              <w:t>序号</w:t>
            </w:r>
          </w:p>
        </w:tc>
        <w:tc>
          <w:tcPr>
            <w:tcW w:type="dxa" w:w="209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b/>
                <w:sz w:val="24"/>
              </w:rPr>
              <w:t>维护服务项</w:t>
            </w:r>
          </w:p>
        </w:tc>
        <w:tc>
          <w:tcPr>
            <w:tcW w:type="dxa" w:w="263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b/>
                <w:sz w:val="24"/>
              </w:rPr>
              <w:t>记录与交付频度</w:t>
            </w:r>
          </w:p>
        </w:tc>
        <w:tc>
          <w:tcPr>
            <w:tcW w:type="dxa" w:w="275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b/>
                <w:sz w:val="24"/>
              </w:rPr>
              <w:t>交付成果</w:t>
            </w: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1</w:t>
            </w:r>
          </w:p>
        </w:tc>
        <w:tc>
          <w:tcPr>
            <w:tcW w:type="dxa" w:w="20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驻点人员在岗位记录</w:t>
            </w:r>
          </w:p>
        </w:tc>
        <w:tc>
          <w:tcPr>
            <w:tcW w:type="dxa" w:w="263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按日记录，按半年度提交</w:t>
            </w:r>
          </w:p>
        </w:tc>
        <w:tc>
          <w:tcPr>
            <w:tcW w:type="dxa" w:w="27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《值班表》</w:t>
            </w: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2</w:t>
            </w:r>
          </w:p>
        </w:tc>
        <w:tc>
          <w:tcPr>
            <w:tcW w:type="dxa" w:w="20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巡检方案</w:t>
            </w:r>
          </w:p>
        </w:tc>
        <w:tc>
          <w:tcPr>
            <w:tcW w:type="dxa" w:w="263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《巡检方案》</w:t>
            </w:r>
          </w:p>
        </w:tc>
        <w:tc>
          <w:tcPr>
            <w:tcW w:type="dxa" w:w="27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合同签订日提供</w:t>
            </w: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3</w:t>
            </w:r>
          </w:p>
        </w:tc>
        <w:tc>
          <w:tcPr>
            <w:tcW w:type="dxa" w:w="20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业务系统日常巡检</w:t>
            </w:r>
          </w:p>
        </w:tc>
        <w:tc>
          <w:tcPr>
            <w:tcW w:type="dxa" w:w="263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按日记录，按半年度提交</w:t>
            </w:r>
          </w:p>
        </w:tc>
        <w:tc>
          <w:tcPr>
            <w:tcW w:type="dxa" w:w="27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《业务系统巡检记录表》</w:t>
            </w:r>
          </w:p>
          <w:p>
            <w:pPr>
              <w:pStyle w:val="null3"/>
              <w:spacing w:before="150" w:after="150"/>
              <w:jc w:val="center"/>
            </w:pPr>
            <w:r>
              <w:rPr>
                <w:rFonts w:ascii="仿宋" w:hAnsi="仿宋" w:cs="仿宋" w:eastAsia="仿宋"/>
                <w:sz w:val="24"/>
              </w:rPr>
              <w:t>《数据库巡检记录表》</w:t>
            </w: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4</w:t>
            </w:r>
          </w:p>
        </w:tc>
        <w:tc>
          <w:tcPr>
            <w:tcW w:type="dxa" w:w="20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系统接口巡检</w:t>
            </w:r>
          </w:p>
        </w:tc>
        <w:tc>
          <w:tcPr>
            <w:tcW w:type="dxa" w:w="263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省市平台接口巡检按日记录，按半年度提交。</w:t>
            </w:r>
          </w:p>
          <w:p>
            <w:pPr>
              <w:pStyle w:val="null3"/>
              <w:spacing w:before="150" w:after="150"/>
            </w:pPr>
            <w:r>
              <w:rPr>
                <w:rFonts w:ascii="仿宋" w:hAnsi="仿宋" w:cs="仿宋" w:eastAsia="仿宋"/>
                <w:sz w:val="24"/>
              </w:rPr>
              <w:t>省级数据汇聚平台传输接口按季度记录，按半年度提交。</w:t>
            </w:r>
          </w:p>
        </w:tc>
        <w:tc>
          <w:tcPr>
            <w:tcW w:type="dxa" w:w="27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《省市平台接口服务巡检记录表》、《省级汇聚平台数据传输报告》</w:t>
            </w: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5</w:t>
            </w:r>
          </w:p>
        </w:tc>
        <w:tc>
          <w:tcPr>
            <w:tcW w:type="dxa" w:w="20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故障问题处理</w:t>
            </w:r>
          </w:p>
        </w:tc>
        <w:tc>
          <w:tcPr>
            <w:tcW w:type="dxa" w:w="263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按次记录，按半年提交</w:t>
            </w:r>
          </w:p>
        </w:tc>
        <w:tc>
          <w:tcPr>
            <w:tcW w:type="dxa" w:w="27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《故障维护记录表》</w:t>
            </w:r>
          </w:p>
        </w:tc>
      </w:tr>
      <w:tr>
        <w:tc>
          <w:tcPr>
            <w:tcW w:type="dxa" w:w="7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6</w:t>
            </w:r>
          </w:p>
        </w:tc>
        <w:tc>
          <w:tcPr>
            <w:tcW w:type="dxa" w:w="20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运维情况报告</w:t>
            </w:r>
          </w:p>
        </w:tc>
        <w:tc>
          <w:tcPr>
            <w:tcW w:type="dxa" w:w="263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pPr>
            <w:r>
              <w:rPr>
                <w:rFonts w:ascii="仿宋" w:hAnsi="仿宋" w:cs="仿宋" w:eastAsia="仿宋"/>
                <w:sz w:val="24"/>
              </w:rPr>
              <w:t>按半年度提交</w:t>
            </w:r>
          </w:p>
        </w:tc>
        <w:tc>
          <w:tcPr>
            <w:tcW w:type="dxa" w:w="27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before="150" w:after="150"/>
              <w:jc w:val="center"/>
            </w:pPr>
            <w:r>
              <w:rPr>
                <w:rFonts w:ascii="仿宋" w:hAnsi="仿宋" w:cs="仿宋" w:eastAsia="仿宋"/>
                <w:sz w:val="24"/>
              </w:rPr>
              <w:t>《运维情况报告》</w:t>
            </w:r>
          </w:p>
        </w:tc>
      </w:tr>
    </w:tbl>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按招标文件要求</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已完招标文件及合同要求，且经采购人验收合格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服务执行半年后，服务各项内容均按照采购人的实际要求完成，项目整体符合招标文件及合同要求后，由采购人按招标文件以及合同要求，组织有关部门一同进行阶段性验收。中标人应积极配合项目阶段性验收工作，并负责在项目阶段性验收时将运维相关技术、资料等文档装订成册交付采购人。</w:t>
            </w:r>
          </w:p>
          <w:p>
            <w:pPr>
              <w:pStyle w:val="null3"/>
              <w:jc w:val="left"/>
            </w:pPr>
            <w:r>
              <w:rPr/>
              <w:t>2、期次2，说明：项目运维服务期满后，服务各项内容均按照采购人的实际要求完成，项目整体符合招标文件及合同要求后，由采购人按照招标文件及合同要求，组织有关部门一同进行项目整体验收。中标人应积极配合项目验收工作，并负责在项目验收时将运维相关技术、资料等文档装订成册交付采购人。中标人必须在提起验收申请后40个工作日内通过采购人组织的最终验收。若中标人未按上述期限完成验收，应按合同总额每日万之一向采购人支付违约金，由采购人从待付款中扣除。</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1、合同签订后30日，达到付款条件起10日内，支付合同总金额的30.00%</w:t>
            </w:r>
          </w:p>
          <w:p>
            <w:pPr>
              <w:pStyle w:val="null3"/>
              <w:jc w:val="left"/>
            </w:pPr>
            <w:r>
              <w:rPr/>
              <w:t>2、服务执行半年后，采购人进行第一次考核，通过采购人组织的项目半年验收后按考核及支付标准进行支付。考核分达到90分以上（含90分），达到付款条件起10日内，支付合同总金额的30.00%</w:t>
            </w:r>
          </w:p>
          <w:p>
            <w:pPr>
              <w:pStyle w:val="null3"/>
              <w:jc w:val="left"/>
            </w:pPr>
            <w:r>
              <w:rPr/>
              <w:t>3、服务执行完毕后，采购人进行第二次考核，通过采购人组织的项目整体验收后按考核及支付标准进行支付，考核分达到90分以上（含90分），达到付款条件起10日内，支付合同总金额的40.00%</w:t>
            </w:r>
          </w:p>
        </w:tc>
      </w:tr>
    </w:tbl>
    <w:p>
      <w:pPr>
        <w:pStyle w:val="null3"/>
        <w:jc w:val="left"/>
      </w:pPr>
      <w:r>
        <w:rPr/>
        <w:t>其他商务要求</w:t>
      </w:r>
    </w:p>
    <w:p>
      <w:pPr>
        <w:pStyle w:val="null3"/>
        <w:ind w:firstLine="480"/>
        <w:jc w:val="left"/>
      </w:pPr>
      <w:r>
        <w:rPr>
          <w:rFonts w:ascii="仿宋" w:hAnsi="仿宋" w:cs="仿宋" w:eastAsia="仿宋"/>
        </w:rPr>
        <w:t>★</w:t>
      </w:r>
      <w:r>
        <w:rPr>
          <w:rFonts w:ascii="仿宋" w:hAnsi="仿宋" w:cs="仿宋" w:eastAsia="仿宋"/>
          <w:b/>
          <w:color w:val="000000"/>
          <w:sz w:val="24"/>
        </w:rPr>
        <w:t>8、</w:t>
      </w:r>
      <w:r>
        <w:rPr>
          <w:rFonts w:ascii="仿宋" w:hAnsi="仿宋" w:cs="仿宋" w:eastAsia="仿宋"/>
          <w:b/>
          <w:sz w:val="24"/>
        </w:rPr>
        <w:t>运维服务考核及支付标准</w:t>
      </w:r>
    </w:p>
    <w:p>
      <w:pPr>
        <w:pStyle w:val="null3"/>
        <w:ind w:firstLine="480"/>
        <w:jc w:val="both"/>
      </w:pPr>
      <w:r>
        <w:rPr>
          <w:rFonts w:ascii="仿宋" w:hAnsi="仿宋" w:cs="仿宋" w:eastAsia="仿宋"/>
          <w:sz w:val="24"/>
        </w:rPr>
        <w:t>项目每半年度考核付款一次，第一次考核服务费总额为合同总金额的</w:t>
      </w:r>
      <w:r>
        <w:rPr>
          <w:rFonts w:ascii="仿宋" w:hAnsi="仿宋" w:cs="仿宋" w:eastAsia="仿宋"/>
          <w:sz w:val="24"/>
        </w:rPr>
        <w:t>30%，第二次考核服务费总额为合同总金额的40%，由福建省交通信息通信与应急处置中心结合工作实际进行考核，考核办法满分为100分，该分数将作为服务费用支出的依据。当次考核分数高于90分（含90分），支付当次考核总额的100%为服务费；考核分数89-80分，支付当次考核总额的80%为服务费；考核分数79-70分，支付当次考核总额的70%为服务费；考核分数69-60分，支付当次考核总额的60%为服务费。若不能满足本招标文件、合同相关条款规定服务要求，且考核低于60分的，采购人将扣除本期服务费，并将签订合同时支付的合同总金额的30.00%预付款退还至采购人。</w:t>
      </w:r>
    </w:p>
    <w:p>
      <w:pPr>
        <w:pStyle w:val="null3"/>
        <w:jc w:val="center"/>
      </w:pPr>
      <w:r>
        <w:rPr>
          <w:rFonts w:ascii="仿宋" w:hAnsi="仿宋" w:cs="仿宋" w:eastAsia="仿宋"/>
          <w:b/>
          <w:sz w:val="28"/>
        </w:rPr>
        <w:t>考</w:t>
      </w:r>
      <w:r>
        <w:rPr>
          <w:rFonts w:ascii="仿宋" w:hAnsi="仿宋" w:cs="仿宋" w:eastAsia="仿宋"/>
          <w:b/>
          <w:sz w:val="28"/>
        </w:rPr>
        <w:t xml:space="preserve">  </w:t>
      </w:r>
      <w:r>
        <w:rPr>
          <w:rFonts w:ascii="仿宋" w:hAnsi="仿宋" w:cs="仿宋" w:eastAsia="仿宋"/>
          <w:b/>
          <w:sz w:val="28"/>
        </w:rPr>
        <w:t>核</w:t>
      </w:r>
      <w:r>
        <w:rPr>
          <w:rFonts w:ascii="仿宋" w:hAnsi="仿宋" w:cs="仿宋" w:eastAsia="仿宋"/>
          <w:b/>
          <w:sz w:val="28"/>
        </w:rPr>
        <w:t xml:space="preserve">  </w:t>
      </w:r>
      <w:r>
        <w:rPr>
          <w:rFonts w:ascii="仿宋" w:hAnsi="仿宋" w:cs="仿宋" w:eastAsia="仿宋"/>
          <w:b/>
          <w:sz w:val="28"/>
        </w:rPr>
        <w:t>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379"/>
        <w:gridCol w:w="1199"/>
        <w:gridCol w:w="4977"/>
        <w:gridCol w:w="719"/>
      </w:tblGrid>
      <w:tr>
        <w:tc>
          <w:tcPr>
            <w:tcW w:type="dxa" w:w="2578"/>
            <w:gridSpan w:val="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b/>
                <w:sz w:val="24"/>
              </w:rPr>
              <w:t>考核内容</w:t>
            </w:r>
          </w:p>
        </w:tc>
        <w:tc>
          <w:tcPr>
            <w:tcW w:type="dxa" w:w="497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b/>
                <w:sz w:val="24"/>
              </w:rPr>
              <w:t>评分标准</w:t>
            </w:r>
          </w:p>
        </w:tc>
        <w:tc>
          <w:tcPr>
            <w:tcW w:type="dxa" w:w="71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b/>
                <w:sz w:val="24"/>
              </w:rPr>
              <w:t>评分</w:t>
            </w:r>
          </w:p>
        </w:tc>
      </w:tr>
      <w:tr>
        <w:tc>
          <w:tcPr>
            <w:tcW w:type="dxa" w:w="1379"/>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b/>
                <w:sz w:val="24"/>
              </w:rPr>
              <w:t>驻点服务</w:t>
            </w:r>
          </w:p>
          <w:p>
            <w:pPr>
              <w:pStyle w:val="null3"/>
              <w:jc w:val="center"/>
            </w:pPr>
            <w:r>
              <w:rPr>
                <w:rFonts w:ascii="仿宋" w:hAnsi="仿宋" w:cs="仿宋" w:eastAsia="仿宋"/>
                <w:b/>
                <w:sz w:val="24"/>
              </w:rPr>
              <w:t>情况</w:t>
            </w:r>
          </w:p>
        </w:tc>
        <w:tc>
          <w:tcPr>
            <w:tcW w:type="dxa" w:w="11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4"/>
              </w:rPr>
              <w:t>服务态度（</w:t>
            </w:r>
            <w:r>
              <w:rPr>
                <w:rFonts w:ascii="仿宋" w:hAnsi="仿宋" w:cs="仿宋" w:eastAsia="仿宋"/>
                <w:sz w:val="24"/>
              </w:rPr>
              <w:t>10分）</w:t>
            </w:r>
          </w:p>
        </w:tc>
        <w:tc>
          <w:tcPr>
            <w:tcW w:type="dxa" w:w="4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sz w:val="24"/>
              </w:rPr>
              <w:t>服务态度不好，工作推诿，服务用语不文明，被用户投诉一次扣</w:t>
            </w:r>
            <w:r>
              <w:rPr>
                <w:rFonts w:ascii="仿宋" w:hAnsi="仿宋" w:cs="仿宋" w:eastAsia="仿宋"/>
                <w:sz w:val="24"/>
              </w:rPr>
              <w:t>2分，扣完为止；</w:t>
            </w:r>
          </w:p>
        </w:tc>
        <w:tc>
          <w:tcPr>
            <w:tcW w:type="dxa" w:w="71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379"/>
            <w:vMerge/>
            <w:tcBorders>
              <w:top w:val="none" w:color="000000" w:sz="4"/>
              <w:left w:val="single" w:color="000000" w:sz="8"/>
              <w:bottom w:val="single" w:color="000000" w:sz="8"/>
              <w:right w:val="single" w:color="000000" w:sz="8"/>
            </w:tcBorders>
          </w:tcPr>
          <w:p/>
        </w:tc>
        <w:tc>
          <w:tcPr>
            <w:tcW w:type="dxa" w:w="11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4"/>
              </w:rPr>
              <w:t>响应速度（</w:t>
            </w:r>
            <w:r>
              <w:rPr>
                <w:rFonts w:ascii="仿宋" w:hAnsi="仿宋" w:cs="仿宋" w:eastAsia="仿宋"/>
                <w:sz w:val="24"/>
              </w:rPr>
              <w:t>20分）</w:t>
            </w:r>
          </w:p>
        </w:tc>
        <w:tc>
          <w:tcPr>
            <w:tcW w:type="dxa" w:w="4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numPr>
                <w:ilvl w:val="0"/>
                <w:numId w:val="1"/>
              </w:numPr>
            </w:pPr>
            <w:r>
              <w:rPr>
                <w:rFonts w:ascii="仿宋" w:hAnsi="仿宋" w:cs="仿宋" w:eastAsia="仿宋"/>
                <w:sz w:val="24"/>
              </w:rPr>
              <w:t>未及时响应受理维护任务，被书面投诉一次扣</w:t>
            </w:r>
            <w:r>
              <w:rPr>
                <w:rFonts w:ascii="仿宋" w:hAnsi="仿宋" w:cs="仿宋" w:eastAsia="仿宋"/>
                <w:sz w:val="24"/>
              </w:rPr>
              <w:t>2分，扣完为止；</w:t>
            </w:r>
          </w:p>
          <w:p>
            <w:pPr>
              <w:pStyle w:val="null3"/>
              <w:numPr>
                <w:ilvl w:val="0"/>
                <w:numId w:val="1"/>
              </w:numPr>
            </w:pPr>
            <w:r>
              <w:rPr>
                <w:rFonts w:ascii="仿宋" w:hAnsi="仿宋" w:cs="仿宋" w:eastAsia="仿宋"/>
                <w:sz w:val="24"/>
              </w:rPr>
              <w:t>无正当理由，不及时接听维护电话或未回应用户咨询每次扣</w:t>
            </w:r>
            <w:r>
              <w:rPr>
                <w:rFonts w:ascii="仿宋" w:hAnsi="仿宋" w:cs="仿宋" w:eastAsia="仿宋"/>
                <w:sz w:val="24"/>
              </w:rPr>
              <w:t>1分，扣完为止；</w:t>
            </w:r>
          </w:p>
        </w:tc>
        <w:tc>
          <w:tcPr>
            <w:tcW w:type="dxa" w:w="71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379"/>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b/>
                <w:sz w:val="24"/>
              </w:rPr>
              <w:t>日常巡检维护情况</w:t>
            </w:r>
          </w:p>
        </w:tc>
        <w:tc>
          <w:tcPr>
            <w:tcW w:type="dxa" w:w="11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4"/>
              </w:rPr>
              <w:t>巡检工作</w:t>
            </w:r>
          </w:p>
          <w:p>
            <w:pPr>
              <w:pStyle w:val="null3"/>
              <w:jc w:val="center"/>
            </w:pPr>
            <w:r>
              <w:rPr>
                <w:rFonts w:ascii="仿宋" w:hAnsi="仿宋" w:cs="仿宋" w:eastAsia="仿宋"/>
                <w:sz w:val="24"/>
              </w:rPr>
              <w:t>（</w:t>
            </w:r>
            <w:r>
              <w:rPr>
                <w:rFonts w:ascii="仿宋" w:hAnsi="仿宋" w:cs="仿宋" w:eastAsia="仿宋"/>
                <w:sz w:val="24"/>
              </w:rPr>
              <w:t>20分）</w:t>
            </w:r>
          </w:p>
        </w:tc>
        <w:tc>
          <w:tcPr>
            <w:tcW w:type="dxa" w:w="4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sz w:val="24"/>
              </w:rPr>
              <w:t>1、未制定巡检方案，扣5分，巡检方案内容不合理，扣3分；</w:t>
            </w:r>
          </w:p>
          <w:p>
            <w:pPr>
              <w:pStyle w:val="null3"/>
            </w:pPr>
            <w:r>
              <w:rPr>
                <w:rFonts w:ascii="仿宋" w:hAnsi="仿宋" w:cs="仿宋" w:eastAsia="仿宋"/>
                <w:sz w:val="24"/>
              </w:rPr>
              <w:t>2、每次巡检时间、人员等安排不合理，扣2分，扣完为止；</w:t>
            </w:r>
          </w:p>
          <w:p>
            <w:pPr>
              <w:pStyle w:val="null3"/>
            </w:pPr>
            <w:r>
              <w:rPr>
                <w:rFonts w:ascii="仿宋" w:hAnsi="仿宋" w:cs="仿宋" w:eastAsia="仿宋"/>
                <w:sz w:val="24"/>
              </w:rPr>
              <w:t>3、未在规定的时间内进行日常巡检工作，被用户发现一次扣1分，扣完为止；</w:t>
            </w:r>
          </w:p>
        </w:tc>
        <w:tc>
          <w:tcPr>
            <w:tcW w:type="dxa" w:w="71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379"/>
            <w:vMerge/>
            <w:tcBorders>
              <w:top w:val="none" w:color="000000" w:sz="4"/>
              <w:left w:val="single" w:color="000000" w:sz="8"/>
              <w:bottom w:val="single" w:color="000000" w:sz="8"/>
              <w:right w:val="single" w:color="000000" w:sz="8"/>
            </w:tcBorders>
          </w:tcPr>
          <w:p/>
        </w:tc>
        <w:tc>
          <w:tcPr>
            <w:tcW w:type="dxa" w:w="11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4"/>
              </w:rPr>
              <w:t>巡检记录</w:t>
            </w:r>
          </w:p>
          <w:p>
            <w:pPr>
              <w:pStyle w:val="null3"/>
              <w:jc w:val="center"/>
            </w:pPr>
            <w:r>
              <w:rPr>
                <w:rFonts w:ascii="仿宋" w:hAnsi="仿宋" w:cs="仿宋" w:eastAsia="仿宋"/>
                <w:sz w:val="24"/>
              </w:rPr>
              <w:t>（</w:t>
            </w:r>
            <w:r>
              <w:rPr>
                <w:rFonts w:ascii="仿宋" w:hAnsi="仿宋" w:cs="仿宋" w:eastAsia="仿宋"/>
                <w:sz w:val="24"/>
              </w:rPr>
              <w:t>20分）</w:t>
            </w:r>
          </w:p>
        </w:tc>
        <w:tc>
          <w:tcPr>
            <w:tcW w:type="dxa" w:w="4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sz w:val="24"/>
              </w:rPr>
              <w:t>巡检记录材料不完整或未做记录的，发现一次扣</w:t>
            </w:r>
            <w:r>
              <w:rPr>
                <w:rFonts w:ascii="仿宋" w:hAnsi="仿宋" w:cs="仿宋" w:eastAsia="仿宋"/>
                <w:sz w:val="24"/>
              </w:rPr>
              <w:t>1分，扣完为止；</w:t>
            </w:r>
          </w:p>
        </w:tc>
        <w:tc>
          <w:tcPr>
            <w:tcW w:type="dxa" w:w="71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3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b/>
                <w:sz w:val="24"/>
              </w:rPr>
              <w:t>运维服务</w:t>
            </w:r>
          </w:p>
          <w:p>
            <w:pPr>
              <w:pStyle w:val="null3"/>
              <w:jc w:val="center"/>
            </w:pPr>
            <w:r>
              <w:rPr>
                <w:rFonts w:ascii="仿宋" w:hAnsi="仿宋" w:cs="仿宋" w:eastAsia="仿宋"/>
                <w:b/>
                <w:sz w:val="24"/>
              </w:rPr>
              <w:t>质量</w:t>
            </w:r>
          </w:p>
        </w:tc>
        <w:tc>
          <w:tcPr>
            <w:tcW w:type="dxa" w:w="11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4"/>
              </w:rPr>
              <w:t>故障处理</w:t>
            </w:r>
          </w:p>
          <w:p>
            <w:pPr>
              <w:pStyle w:val="null3"/>
              <w:jc w:val="center"/>
            </w:pPr>
            <w:r>
              <w:rPr>
                <w:rFonts w:ascii="仿宋" w:hAnsi="仿宋" w:cs="仿宋" w:eastAsia="仿宋"/>
                <w:sz w:val="24"/>
              </w:rPr>
              <w:t>（</w:t>
            </w:r>
            <w:r>
              <w:rPr>
                <w:rFonts w:ascii="仿宋" w:hAnsi="仿宋" w:cs="仿宋" w:eastAsia="仿宋"/>
                <w:sz w:val="24"/>
              </w:rPr>
              <w:t>20分）</w:t>
            </w:r>
          </w:p>
        </w:tc>
        <w:tc>
          <w:tcPr>
            <w:tcW w:type="dxa" w:w="4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sz w:val="24"/>
              </w:rPr>
              <w:t>1、接到故障通知后，未在规定的时间内解决故障的或给出合理解决方案的，每次扣1分，扣完为止；</w:t>
            </w:r>
          </w:p>
          <w:p>
            <w:pPr>
              <w:pStyle w:val="null3"/>
            </w:pPr>
            <w:r>
              <w:rPr>
                <w:rFonts w:ascii="仿宋" w:hAnsi="仿宋" w:cs="仿宋" w:eastAsia="仿宋"/>
                <w:sz w:val="24"/>
              </w:rPr>
              <w:t>2、接到项目单位安全管理部门提出的安全防护、漏洞修复、安全补丁等事件要求时，未在要求的时间内完成修复或提交解决方案的，每次扣2分，扣完为止；</w:t>
            </w:r>
          </w:p>
        </w:tc>
        <w:tc>
          <w:tcPr>
            <w:tcW w:type="dxa" w:w="71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3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b/>
                <w:sz w:val="24"/>
              </w:rPr>
              <w:t>报告及其它文档质量</w:t>
            </w:r>
          </w:p>
        </w:tc>
        <w:tc>
          <w:tcPr>
            <w:tcW w:type="dxa" w:w="11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4"/>
              </w:rPr>
              <w:t>文档数据质量（</w:t>
            </w:r>
            <w:r>
              <w:rPr>
                <w:rFonts w:ascii="仿宋" w:hAnsi="仿宋" w:cs="仿宋" w:eastAsia="仿宋"/>
                <w:sz w:val="24"/>
              </w:rPr>
              <w:t>10分）</w:t>
            </w:r>
          </w:p>
        </w:tc>
        <w:tc>
          <w:tcPr>
            <w:tcW w:type="dxa" w:w="4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numPr>
                <w:ilvl w:val="0"/>
                <w:numId w:val="1"/>
              </w:numPr>
              <w:spacing w:before="150" w:after="150"/>
            </w:pPr>
            <w:r>
              <w:rPr>
                <w:rFonts w:ascii="仿宋" w:hAnsi="仿宋" w:cs="仿宋" w:eastAsia="仿宋"/>
                <w:sz w:val="24"/>
              </w:rPr>
              <w:t>按要求提交的材料（《业务系统巡检记录表》、《数据库巡检记录表》、《省市平台接口服务巡检记录表》、《省级汇聚平台数据传输报告》、《运维总体情况报告》），缺项或未及时提交的，发现一次扣</w:t>
            </w:r>
            <w:r>
              <w:rPr>
                <w:rFonts w:ascii="仿宋" w:hAnsi="仿宋" w:cs="仿宋" w:eastAsia="仿宋"/>
                <w:sz w:val="24"/>
              </w:rPr>
              <w:t>2分，扣完为止；</w:t>
            </w:r>
          </w:p>
          <w:p>
            <w:pPr>
              <w:pStyle w:val="null3"/>
              <w:numPr>
                <w:ilvl w:val="0"/>
                <w:numId w:val="1"/>
              </w:numPr>
              <w:spacing w:before="150" w:after="150"/>
            </w:pPr>
            <w:r>
              <w:rPr>
                <w:rFonts w:ascii="仿宋" w:hAnsi="仿宋" w:cs="仿宋" w:eastAsia="仿宋"/>
                <w:sz w:val="24"/>
              </w:rPr>
              <w:t>数据伪造或与实际情况有较大偏差发现一次扣</w:t>
            </w:r>
            <w:r>
              <w:rPr>
                <w:rFonts w:ascii="仿宋" w:hAnsi="仿宋" w:cs="仿宋" w:eastAsia="仿宋"/>
                <w:sz w:val="24"/>
              </w:rPr>
              <w:t>2分，扣完为止。</w:t>
            </w:r>
          </w:p>
        </w:tc>
        <w:tc>
          <w:tcPr>
            <w:tcW w:type="dxa" w:w="71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3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b/>
                <w:sz w:val="21"/>
              </w:rPr>
              <w:t>扣分原因</w:t>
            </w:r>
          </w:p>
          <w:p>
            <w:pPr>
              <w:pStyle w:val="null3"/>
              <w:jc w:val="center"/>
            </w:pPr>
            <w:r>
              <w:rPr>
                <w:rFonts w:ascii="仿宋" w:hAnsi="仿宋" w:cs="仿宋" w:eastAsia="仿宋"/>
                <w:b/>
                <w:sz w:val="21"/>
              </w:rPr>
              <w:t>说明：</w:t>
            </w:r>
          </w:p>
        </w:tc>
        <w:tc>
          <w:tcPr>
            <w:tcW w:type="dxa" w:w="617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left="30"/>
            </w:pPr>
          </w:p>
        </w:tc>
        <w:tc>
          <w:tcPr>
            <w:tcW w:type="dxa" w:w="71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r>
        <w:tc>
          <w:tcPr>
            <w:tcW w:type="dxa" w:w="137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 w:hAnsi="仿宋" w:cs="仿宋" w:eastAsia="仿宋"/>
                <w:b/>
                <w:sz w:val="21"/>
              </w:rPr>
              <w:t>总</w:t>
            </w:r>
            <w:r>
              <w:rPr>
                <w:rFonts w:ascii="仿宋" w:hAnsi="仿宋" w:cs="仿宋" w:eastAsia="仿宋"/>
                <w:b/>
                <w:sz w:val="21"/>
              </w:rPr>
              <w:t xml:space="preserve">     </w:t>
            </w:r>
            <w:r>
              <w:rPr>
                <w:rFonts w:ascii="仿宋" w:hAnsi="仿宋" w:cs="仿宋" w:eastAsia="仿宋"/>
                <w:b/>
                <w:sz w:val="21"/>
              </w:rPr>
              <w:t>分：</w:t>
            </w:r>
          </w:p>
        </w:tc>
        <w:tc>
          <w:tcPr>
            <w:tcW w:type="dxa" w:w="617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left="30"/>
            </w:pPr>
          </w:p>
        </w:tc>
        <w:tc>
          <w:tcPr>
            <w:tcW w:type="dxa" w:w="71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bl>
    <w:p>
      <w:pPr>
        <w:pStyle w:val="null3"/>
      </w:pPr>
      <w:r>
        <w:rPr>
          <w:rFonts w:ascii="仿宋" w:hAnsi="仿宋" w:cs="仿宋" w:eastAsia="仿宋"/>
          <w:b/>
          <w:sz w:val="24"/>
        </w:rPr>
        <w:t>（</w:t>
      </w:r>
      <w:r>
        <w:rPr>
          <w:rFonts w:ascii="仿宋" w:hAnsi="仿宋" w:cs="仿宋" w:eastAsia="仿宋"/>
          <w:b/>
          <w:sz w:val="24"/>
        </w:rPr>
        <w:t>1）半年度阶段性验收</w:t>
      </w:r>
    </w:p>
    <w:p>
      <w:pPr>
        <w:pStyle w:val="null3"/>
        <w:spacing w:before="150" w:after="150"/>
        <w:ind w:firstLine="480"/>
      </w:pPr>
      <w:r>
        <w:rPr>
          <w:rFonts w:ascii="仿宋" w:hAnsi="仿宋" w:cs="仿宋" w:eastAsia="仿宋"/>
          <w:sz w:val="24"/>
        </w:rPr>
        <w:t>服务执行半年后且中标人按照招标文件及合同要求，已完成服务各项内容。中标人书面提出半年度阶段性验收申请并将有关文件资料装订成册交付采购人确认，采购人将按照招标文件及合同要求，结合项目实际完成情况对项目运维情况进行考核工作。</w:t>
      </w:r>
    </w:p>
    <w:p>
      <w:pPr>
        <w:pStyle w:val="null3"/>
        <w:spacing w:before="150" w:after="150"/>
        <w:ind w:firstLine="480"/>
      </w:pPr>
      <w:r>
        <w:rPr>
          <w:rFonts w:ascii="仿宋" w:hAnsi="仿宋" w:cs="仿宋" w:eastAsia="仿宋"/>
          <w:sz w:val="24"/>
        </w:rPr>
        <w:t>半年度阶段性验收需提交的材料包括但不限于：</w:t>
      </w:r>
    </w:p>
    <w:p>
      <w:pPr>
        <w:pStyle w:val="null3"/>
        <w:spacing w:before="150" w:after="150"/>
        <w:ind w:left="570"/>
      </w:pPr>
      <w:r>
        <w:rPr>
          <w:rFonts w:ascii="仿宋" w:hAnsi="仿宋" w:cs="仿宋" w:eastAsia="仿宋"/>
          <w:sz w:val="24"/>
        </w:rPr>
        <w:t>1）半年度阶段性验收申请表</w:t>
      </w:r>
    </w:p>
    <w:p>
      <w:pPr>
        <w:pStyle w:val="null3"/>
        <w:spacing w:before="150" w:after="150"/>
        <w:ind w:left="570"/>
      </w:pPr>
      <w:r>
        <w:rPr>
          <w:rFonts w:ascii="仿宋" w:hAnsi="仿宋" w:cs="仿宋" w:eastAsia="仿宋"/>
          <w:sz w:val="24"/>
        </w:rPr>
        <w:t>2）服务考核表</w:t>
      </w:r>
    </w:p>
    <w:p>
      <w:pPr>
        <w:pStyle w:val="null3"/>
        <w:spacing w:before="150" w:after="150"/>
        <w:ind w:firstLine="566"/>
      </w:pPr>
      <w:r>
        <w:rPr>
          <w:rFonts w:ascii="仿宋" w:hAnsi="仿宋" w:cs="仿宋" w:eastAsia="仿宋"/>
          <w:sz w:val="24"/>
        </w:rPr>
        <w:t>3）《值班表》</w:t>
      </w:r>
    </w:p>
    <w:p>
      <w:pPr>
        <w:pStyle w:val="null3"/>
        <w:spacing w:before="150" w:after="150"/>
        <w:ind w:firstLine="566"/>
      </w:pPr>
      <w:r>
        <w:rPr>
          <w:rFonts w:ascii="仿宋" w:hAnsi="仿宋" w:cs="仿宋" w:eastAsia="仿宋"/>
          <w:sz w:val="24"/>
        </w:rPr>
        <w:t>4）《巡检方案》</w:t>
      </w:r>
    </w:p>
    <w:p>
      <w:pPr>
        <w:pStyle w:val="null3"/>
        <w:spacing w:before="150" w:after="150"/>
        <w:ind w:firstLine="566"/>
      </w:pPr>
      <w:r>
        <w:rPr>
          <w:rFonts w:ascii="仿宋" w:hAnsi="仿宋" w:cs="仿宋" w:eastAsia="仿宋"/>
          <w:sz w:val="24"/>
        </w:rPr>
        <w:t>5）《业务系统巡检记录表》</w:t>
      </w:r>
    </w:p>
    <w:p>
      <w:pPr>
        <w:pStyle w:val="null3"/>
        <w:spacing w:before="150" w:after="150"/>
        <w:ind w:firstLine="566"/>
      </w:pPr>
      <w:r>
        <w:rPr>
          <w:rFonts w:ascii="仿宋" w:hAnsi="仿宋" w:cs="仿宋" w:eastAsia="仿宋"/>
          <w:sz w:val="24"/>
        </w:rPr>
        <w:t>6）《数据库巡检记录表》</w:t>
      </w:r>
    </w:p>
    <w:p>
      <w:pPr>
        <w:pStyle w:val="null3"/>
        <w:spacing w:before="150" w:after="150"/>
        <w:ind w:firstLine="566"/>
      </w:pPr>
      <w:r>
        <w:rPr>
          <w:rFonts w:ascii="仿宋" w:hAnsi="仿宋" w:cs="仿宋" w:eastAsia="仿宋"/>
          <w:sz w:val="24"/>
        </w:rPr>
        <w:t>7）《省市平台接口服务巡检记录表》</w:t>
      </w:r>
    </w:p>
    <w:p>
      <w:pPr>
        <w:pStyle w:val="null3"/>
        <w:spacing w:before="150" w:after="150"/>
        <w:ind w:firstLine="566"/>
      </w:pPr>
      <w:r>
        <w:rPr>
          <w:rFonts w:ascii="仿宋" w:hAnsi="仿宋" w:cs="仿宋" w:eastAsia="仿宋"/>
          <w:sz w:val="24"/>
        </w:rPr>
        <w:t>8）《省级汇聚平台数据传输报告》</w:t>
      </w:r>
    </w:p>
    <w:p>
      <w:pPr>
        <w:pStyle w:val="null3"/>
        <w:spacing w:before="150" w:after="150"/>
        <w:ind w:firstLine="566"/>
      </w:pPr>
      <w:r>
        <w:rPr>
          <w:rFonts w:ascii="仿宋" w:hAnsi="仿宋" w:cs="仿宋" w:eastAsia="仿宋"/>
          <w:sz w:val="24"/>
        </w:rPr>
        <w:t>9）《故障维护记录表》</w:t>
      </w:r>
    </w:p>
    <w:p>
      <w:pPr>
        <w:pStyle w:val="null3"/>
        <w:spacing w:before="150" w:after="150"/>
        <w:ind w:firstLine="566"/>
      </w:pPr>
      <w:r>
        <w:rPr>
          <w:rFonts w:ascii="仿宋" w:hAnsi="仿宋" w:cs="仿宋" w:eastAsia="仿宋"/>
          <w:sz w:val="24"/>
        </w:rPr>
        <w:t>10）《半年服务期运维情况报告》</w:t>
      </w:r>
    </w:p>
    <w:p>
      <w:pPr>
        <w:pStyle w:val="null3"/>
        <w:spacing w:before="150" w:after="150"/>
        <w:ind w:firstLine="482"/>
      </w:pPr>
      <w:r>
        <w:rPr>
          <w:rFonts w:ascii="仿宋" w:hAnsi="仿宋" w:cs="仿宋" w:eastAsia="仿宋"/>
          <w:b/>
          <w:color w:val="000000"/>
          <w:sz w:val="24"/>
        </w:rPr>
        <w:t>（</w:t>
      </w:r>
      <w:r>
        <w:rPr>
          <w:rFonts w:ascii="仿宋" w:hAnsi="仿宋" w:cs="仿宋" w:eastAsia="仿宋"/>
          <w:b/>
          <w:color w:val="000000"/>
          <w:sz w:val="24"/>
        </w:rPr>
        <w:t>2）最终验收</w:t>
      </w:r>
    </w:p>
    <w:p>
      <w:pPr>
        <w:pStyle w:val="null3"/>
        <w:spacing w:before="150" w:after="150"/>
        <w:ind w:firstLine="480"/>
      </w:pPr>
      <w:r>
        <w:rPr>
          <w:rFonts w:ascii="仿宋" w:hAnsi="仿宋" w:cs="仿宋" w:eastAsia="仿宋"/>
          <w:sz w:val="24"/>
        </w:rPr>
        <w:t>项目运维服务期满后且中标人按照招标文件及合同要求，已完成全部服务内容。中标人提出最终验收申请并将有关文件资料装订成册交付采购人确认，采购人将按照招标文件及合同要求，结合项目实际完成情况对项目进行考该并组织组织验收工作，验收通过后出</w:t>
      </w:r>
      <w:r>
        <w:rPr>
          <w:rFonts w:ascii="仿宋" w:hAnsi="仿宋" w:cs="仿宋" w:eastAsia="仿宋"/>
          <w:color w:val="000000"/>
          <w:sz w:val="24"/>
        </w:rPr>
        <w:t>具最终验收报告。</w:t>
      </w:r>
    </w:p>
    <w:p>
      <w:pPr>
        <w:pStyle w:val="null3"/>
        <w:spacing w:before="150" w:after="150"/>
        <w:ind w:firstLine="480"/>
      </w:pPr>
      <w:r>
        <w:rPr>
          <w:rFonts w:ascii="仿宋" w:hAnsi="仿宋" w:cs="仿宋" w:eastAsia="仿宋"/>
          <w:sz w:val="24"/>
        </w:rPr>
        <w:t>最终验收提交的材料包括但不限于：</w:t>
      </w:r>
    </w:p>
    <w:p>
      <w:pPr>
        <w:pStyle w:val="null3"/>
        <w:spacing w:before="150" w:after="150"/>
        <w:ind w:firstLine="566"/>
      </w:pPr>
      <w:r>
        <w:rPr>
          <w:rFonts w:ascii="仿宋" w:hAnsi="仿宋" w:cs="仿宋" w:eastAsia="仿宋"/>
          <w:sz w:val="24"/>
        </w:rPr>
        <w:t>1）年度服务期验收申请表</w:t>
      </w:r>
    </w:p>
    <w:p>
      <w:pPr>
        <w:pStyle w:val="null3"/>
        <w:spacing w:before="150" w:after="150"/>
        <w:ind w:firstLine="566"/>
      </w:pPr>
      <w:r>
        <w:rPr>
          <w:rFonts w:ascii="仿宋" w:hAnsi="仿宋" w:cs="仿宋" w:eastAsia="仿宋"/>
          <w:sz w:val="24"/>
        </w:rPr>
        <w:t>2）服务考核表</w:t>
      </w:r>
    </w:p>
    <w:p>
      <w:pPr>
        <w:pStyle w:val="null3"/>
        <w:spacing w:before="150" w:after="150"/>
        <w:ind w:firstLine="566"/>
      </w:pPr>
      <w:r>
        <w:rPr>
          <w:rFonts w:ascii="仿宋" w:hAnsi="仿宋" w:cs="仿宋" w:eastAsia="仿宋"/>
          <w:sz w:val="24"/>
        </w:rPr>
        <w:t>3）《值班表》</w:t>
      </w:r>
    </w:p>
    <w:p>
      <w:pPr>
        <w:pStyle w:val="null3"/>
        <w:spacing w:before="150" w:after="150"/>
        <w:ind w:firstLine="566"/>
      </w:pPr>
      <w:r>
        <w:rPr>
          <w:rFonts w:ascii="仿宋" w:hAnsi="仿宋" w:cs="仿宋" w:eastAsia="仿宋"/>
          <w:sz w:val="24"/>
        </w:rPr>
        <w:t>4）《巡检方案》</w:t>
      </w:r>
    </w:p>
    <w:p>
      <w:pPr>
        <w:pStyle w:val="null3"/>
        <w:spacing w:before="150" w:after="150"/>
        <w:ind w:firstLine="566"/>
      </w:pPr>
      <w:r>
        <w:rPr>
          <w:rFonts w:ascii="仿宋" w:hAnsi="仿宋" w:cs="仿宋" w:eastAsia="仿宋"/>
          <w:sz w:val="24"/>
        </w:rPr>
        <w:t>5）《业务系统巡检记录表》</w:t>
      </w:r>
    </w:p>
    <w:p>
      <w:pPr>
        <w:pStyle w:val="null3"/>
        <w:spacing w:before="150" w:after="150"/>
        <w:ind w:firstLine="566"/>
      </w:pPr>
      <w:r>
        <w:rPr>
          <w:rFonts w:ascii="仿宋" w:hAnsi="仿宋" w:cs="仿宋" w:eastAsia="仿宋"/>
          <w:sz w:val="24"/>
        </w:rPr>
        <w:t>6）《数据库巡检记录表》</w:t>
      </w:r>
    </w:p>
    <w:p>
      <w:pPr>
        <w:pStyle w:val="null3"/>
        <w:spacing w:before="150" w:after="150"/>
        <w:ind w:firstLine="566"/>
      </w:pPr>
      <w:r>
        <w:rPr>
          <w:rFonts w:ascii="仿宋" w:hAnsi="仿宋" w:cs="仿宋" w:eastAsia="仿宋"/>
          <w:sz w:val="24"/>
        </w:rPr>
        <w:t>7）《省市平台接口服务巡检记录表》</w:t>
      </w:r>
    </w:p>
    <w:p>
      <w:pPr>
        <w:pStyle w:val="null3"/>
        <w:spacing w:before="150" w:after="150"/>
        <w:ind w:firstLine="566"/>
      </w:pPr>
      <w:r>
        <w:rPr>
          <w:rFonts w:ascii="仿宋" w:hAnsi="仿宋" w:cs="仿宋" w:eastAsia="仿宋"/>
          <w:sz w:val="24"/>
        </w:rPr>
        <w:t>8）《省级汇聚平台数据传输报告》</w:t>
      </w:r>
    </w:p>
    <w:p>
      <w:pPr>
        <w:pStyle w:val="null3"/>
        <w:spacing w:before="150" w:after="150"/>
        <w:ind w:firstLine="566"/>
      </w:pPr>
      <w:r>
        <w:rPr>
          <w:rFonts w:ascii="仿宋" w:hAnsi="仿宋" w:cs="仿宋" w:eastAsia="仿宋"/>
          <w:sz w:val="24"/>
        </w:rPr>
        <w:t>9）《故障维护记录表》</w:t>
      </w:r>
    </w:p>
    <w:p>
      <w:pPr>
        <w:pStyle w:val="null3"/>
        <w:spacing w:before="150" w:after="150"/>
        <w:ind w:firstLine="566"/>
      </w:pPr>
      <w:r>
        <w:rPr>
          <w:rFonts w:ascii="仿宋" w:hAnsi="仿宋" w:cs="仿宋" w:eastAsia="仿宋"/>
          <w:sz w:val="24"/>
        </w:rPr>
        <w:t>10）《运维服务总体情况报告》</w:t>
      </w:r>
    </w:p>
    <w:p>
      <w:pPr>
        <w:pStyle w:val="null3"/>
        <w:spacing w:before="60" w:after="60"/>
        <w:ind w:left="465"/>
        <w:jc w:val="left"/>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2.1．本项目不允许中标人以任何名义和理由进行转包，如有发现，采购人有权单方中止合同，且中标人必须赔偿由此给采购人带来的一切损失。2.2．本招标文件中所发生的一切费用均包含在投标总价中。 2.3．采购人在授予合同时有权对本招标项目的维保技术服务进行部分调整。 2.4．中标人应保证采购人不受到第三方关于侵犯版权和专利权的指控，任何第三方如果提出指控，中标人应与第三方交涉，承担可能发生的一切法律责任、费用和后果，并赔偿采购人的损失。 2.5．中标人企业、公司财务资料中应对其参与的项目进行单独核算，显示明晰的经济活动过程。</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