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2024年交通运输厅网站运维及服务项目</w:t>
      </w:r>
    </w:p>
    <w:p>
      <w:pPr>
        <w:pStyle w:val="null3"/>
        <w:jc w:val="center"/>
        <w:outlineLvl w:val="2"/>
      </w:pPr>
      <w:r>
        <w:rPr>
          <w:b/>
          <w:sz w:val="28"/>
        </w:rPr>
        <w:t>备案编号：</w:t>
      </w:r>
      <w:r>
        <w:rPr>
          <w:b/>
          <w:sz w:val="28"/>
        </w:rPr>
        <w:t>CGXM-2024-350001-00558[2024]02336</w:t>
      </w:r>
    </w:p>
    <w:p>
      <w:pPr>
        <w:pStyle w:val="null3"/>
        <w:jc w:val="center"/>
        <w:outlineLvl w:val="2"/>
      </w:pPr>
      <w:r>
        <w:rPr>
          <w:b/>
          <w:sz w:val="28"/>
        </w:rPr>
        <w:t>项目编号：</w:t>
      </w:r>
      <w:r>
        <w:rPr>
          <w:b/>
          <w:sz w:val="28"/>
        </w:rPr>
        <w:t>[350001]SHGS[GK]2024005</w:t>
      </w:r>
    </w:p>
    <w:p>
      <w:pPr>
        <w:pStyle w:val="null3"/>
        <w:jc w:val="center"/>
        <w:outlineLvl w:val="2"/>
      </w:pPr>
      <w:r>
        <w:rPr>
          <w:b/>
          <w:sz w:val="28"/>
        </w:rPr>
        <w:t>采购人：</w:t>
      </w:r>
      <w:r>
        <w:rPr>
          <w:b/>
          <w:sz w:val="28"/>
        </w:rPr>
        <w:t>福建省交通信息通信与应急处置中心</w:t>
      </w:r>
    </w:p>
    <w:p>
      <w:pPr>
        <w:pStyle w:val="null3"/>
        <w:jc w:val="center"/>
        <w:outlineLvl w:val="2"/>
      </w:pPr>
      <w:r>
        <w:rPr>
          <w:b/>
          <w:sz w:val="28"/>
        </w:rPr>
        <w:t>代理机构：</w:t>
      </w:r>
      <w:r>
        <w:rPr>
          <w:b/>
          <w:sz w:val="28"/>
        </w:rPr>
        <w:t>福建昇华工程造价咨询有限公司</w:t>
      </w:r>
    </w:p>
    <w:p>
      <w:pPr>
        <w:pStyle w:val="null3"/>
        <w:jc w:val="center"/>
        <w:outlineLvl w:val="2"/>
      </w:pPr>
      <w:r>
        <w:rPr>
          <w:b/>
          <w:sz w:val="28"/>
        </w:rPr>
        <w:t>编制时间</w:t>
      </w:r>
      <w:r>
        <w:rPr>
          <w:b/>
          <w:sz w:val="28"/>
        </w:rPr>
        <w:t>：</w:t>
      </w:r>
      <w:r>
        <w:rPr>
          <w:b/>
          <w:sz w:val="28"/>
        </w:rPr>
        <w:t>2024年05月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福建昇华工程造价咨询有限公司</w:t>
      </w:r>
      <w:r>
        <w:rPr/>
        <w:t xml:space="preserve"> 采用公开招标方式组织 </w:t>
      </w:r>
      <w:r>
        <w:rPr/>
        <w:t>2024年交通运输厅网站运维及服务项目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CGXM-2024-350001-00558[2024]02336</w:t>
      </w:r>
    </w:p>
    <w:p>
      <w:pPr>
        <w:pStyle w:val="null3"/>
        <w:ind w:firstLine="480"/>
        <w:jc w:val="left"/>
        <w:outlineLvl w:val="2"/>
      </w:pPr>
      <w:r>
        <w:rPr>
          <w:b/>
          <w:sz w:val="28"/>
        </w:rPr>
        <w:t>2、项目编号</w:t>
      </w:r>
      <w:r>
        <w:rPr>
          <w:b/>
          <w:sz w:val="28"/>
        </w:rPr>
        <w:t>：</w:t>
      </w:r>
      <w:r>
        <w:rPr>
          <w:b/>
          <w:sz w:val="28"/>
        </w:rPr>
        <w:t>[350001]SHGS[GK]2024005</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根据中华人民共和国财政部、中华人民共和国工业和信息化部《政府采购促进中小企业发展管理办法》的财库〔2020〕46号文件的规定。 ①本项目专门面向符合财政部、工信部文件（财库〔2020〕46号）规定的中、小、微企业。供应商须提供《中小企业声明函》， 格式见采购文件相关附件。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④纸质响应文件正本中的声明函须为原件。注：本项目为专门面向中小企业采购的项目不再执行价格评审优惠的扶持政策；本项目采购标的对应的中小企业划分标准所属行业为“软件和信息技术服务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福建省交通信息通信与应急处置中心</w:t>
      </w:r>
    </w:p>
    <w:p>
      <w:pPr>
        <w:pStyle w:val="null3"/>
        <w:ind w:firstLine="960"/>
        <w:jc w:val="left"/>
      </w:pPr>
      <w:r>
        <w:rPr/>
        <w:t xml:space="preserve"> 地址： </w:t>
      </w:r>
      <w:r>
        <w:rPr/>
        <w:t>福建省福州市鼓楼区东水路18号交通综合大楼28楼</w:t>
      </w:r>
    </w:p>
    <w:p>
      <w:pPr>
        <w:pStyle w:val="null3"/>
        <w:jc w:val="left"/>
      </w:pPr>
      <w:r>
        <w:rPr/>
        <w:t xml:space="preserve"> 邮编： </w:t>
      </w:r>
      <w:r>
        <w:rPr/>
        <w:t>350001</w:t>
      </w:r>
    </w:p>
    <w:p>
      <w:pPr>
        <w:pStyle w:val="null3"/>
        <w:jc w:val="left"/>
      </w:pPr>
      <w:r>
        <w:rPr/>
        <w:t xml:space="preserve"> 联系人： </w:t>
      </w:r>
      <w:r>
        <w:rPr/>
        <w:t>林福新</w:t>
      </w:r>
    </w:p>
    <w:p>
      <w:pPr>
        <w:pStyle w:val="null3"/>
        <w:jc w:val="left"/>
      </w:pPr>
      <w:r>
        <w:rPr/>
        <w:t xml:space="preserve"> 联系电话： </w:t>
      </w:r>
      <w:r>
        <w:rPr/>
        <w:t>0591-87077967</w:t>
      </w:r>
    </w:p>
    <w:p>
      <w:pPr>
        <w:pStyle w:val="null3"/>
        <w:ind w:firstLine="480"/>
        <w:jc w:val="left"/>
        <w:outlineLvl w:val="2"/>
      </w:pPr>
      <w:r>
        <w:rPr>
          <w:b/>
          <w:sz w:val="28"/>
        </w:rPr>
        <w:t>12、代理机构</w:t>
      </w:r>
      <w:r>
        <w:rPr>
          <w:b/>
          <w:sz w:val="28"/>
        </w:rPr>
        <w:t>：</w:t>
      </w:r>
      <w:r>
        <w:rPr>
          <w:b/>
          <w:sz w:val="28"/>
        </w:rPr>
        <w:t>福建昇华工程造价咨询有限公司</w:t>
      </w:r>
    </w:p>
    <w:p>
      <w:pPr>
        <w:pStyle w:val="null3"/>
        <w:ind w:firstLine="960"/>
        <w:jc w:val="both"/>
      </w:pPr>
      <w:r>
        <w:rPr/>
        <w:t xml:space="preserve"> 地址： </w:t>
      </w:r>
      <w:r>
        <w:rPr/>
        <w:t>省府路1号金皇大厦3层东</w:t>
      </w:r>
    </w:p>
    <w:p>
      <w:pPr>
        <w:pStyle w:val="null3"/>
        <w:jc w:val="both"/>
      </w:pPr>
      <w:r>
        <w:rPr/>
        <w:t xml:space="preserve"> 邮编： </w:t>
      </w:r>
      <w:r>
        <w:rPr/>
        <w:t>350001</w:t>
      </w:r>
    </w:p>
    <w:p>
      <w:pPr>
        <w:pStyle w:val="null3"/>
        <w:jc w:val="both"/>
      </w:pPr>
      <w:r>
        <w:rPr/>
        <w:t xml:space="preserve"> 联系人： </w:t>
      </w:r>
      <w:r>
        <w:rPr/>
        <w:t>于小燕、林晓龙、李珏，赵祺玮、蔡月琴</w:t>
      </w:r>
    </w:p>
    <w:p>
      <w:pPr>
        <w:pStyle w:val="null3"/>
        <w:jc w:val="both"/>
      </w:pPr>
      <w:r>
        <w:rPr/>
        <w:t xml:space="preserve"> 联系电话： </w:t>
      </w:r>
      <w:r>
        <w:rPr/>
        <w:t>13705061866</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福建昇华工程造价咨询有限公司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605,000.00</w:t>
      </w:r>
    </w:p>
    <w:p>
      <w:pPr>
        <w:pStyle w:val="null3"/>
        <w:jc w:val="left"/>
      </w:pPr>
      <w:r>
        <w:rPr/>
        <w:t>采购包最高限价（元）: 605,000.00</w:t>
      </w:r>
    </w:p>
    <w:p>
      <w:pPr>
        <w:pStyle w:val="null3"/>
        <w:jc w:val="left"/>
      </w:pPr>
      <w:r>
        <w:rPr/>
        <w:t>采购包保证金金额（元）: 6,050.00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2024年交通运输厅网站运维及服务项目</w:t>
            </w:r>
          </w:p>
        </w:tc>
        <w:tc>
          <w:tcPr>
            <w:tcW w:type="dxa" w:w="1187"/>
          </w:tcPr>
          <w:p>
            <w:pPr>
              <w:pStyle w:val="null3"/>
              <w:jc w:val="right"/>
            </w:pPr>
            <w:r>
              <w:rPr/>
              <w:t>1.00</w:t>
            </w:r>
          </w:p>
        </w:tc>
        <w:tc>
          <w:tcPr>
            <w:tcW w:type="dxa" w:w="1187"/>
          </w:tcPr>
          <w:p>
            <w:pPr>
              <w:pStyle w:val="null3"/>
              <w:jc w:val="right"/>
            </w:pPr>
            <w:r>
              <w:rPr/>
              <w:t>605,000.00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适用于综合评分法：a.按照评标总得分由高到低顺序排列。 b.评标总得分相同的，按照投标报价由低到高顺序排列。 c.评标总得分且投标报价相同的，按照技术指标优劣（即F2项的得分高低）顺序排列。 d.其他：若以上全部相同则随机抽取。</w:t>
            </w:r>
          </w:p>
          <w:p>
            <w:pPr>
              <w:pStyle w:val="null3"/>
              <w:jc w:val="left"/>
            </w:pPr>
            <w:r>
              <w:rPr/>
              <w:t xml:space="preserve"> ②若本款第①点规定方式为“无”，则按照下列方式确定：</w:t>
            </w:r>
          </w:p>
          <w:p>
            <w:pPr>
              <w:pStyle w:val="null3"/>
              <w:jc w:val="left"/>
            </w:pPr>
            <w:r>
              <w:rPr/>
              <w:t xml:space="preserve"> 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福建昇华工程造价咨询有限公司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代理服务费收费标准：本项目收取代理服务费 代理服务费用收取对象：中标/成交供应商 代理服务费收费标准：①招标代理服务费按中标金额以差额定率累进法进行计算，计算标准：100万元以内按照1.2%收取；②中标人在领取中标通知书前以转账方式一次性付清招标代理服务费。 ③招标代理服务费专用账号：351008010010141002762；开户名称：福建昇华工程造价咨询有限公司；开户行：交行福建省分行营业部。④电子邮箱（373537383@qq.com）。</w:t>
            </w:r>
          </w:p>
          <w:p>
            <w:pPr>
              <w:pStyle w:val="null3"/>
              <w:jc w:val="left"/>
            </w:pPr>
            <w:r>
              <w:rPr/>
              <w:t xml:space="preserve"> (2)其他：</w:t>
            </w:r>
          </w:p>
          <w:p>
            <w:pPr>
              <w:pStyle w:val="null3"/>
              <w:jc w:val="left"/>
            </w:pPr>
            <w:r>
              <w:rPr/>
              <w:t>所有资格证明文件应是有效、完整、清晰的，有年检要求的应符合规定，有变更事宜的，变更文件应附齐全。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 (3)质疑受理的其他要求： ①质疑人为法人或其他组织的，质疑函需加盖质疑人单位公章；若本项目接受自然人投标且质疑人为自然人的，质疑函需质疑人本人签名。否则质疑将不予受理。 ②在法定质疑期内质疑人须一次性提出针对同一采购程序环节的质疑，二（多）次质疑不予受理。 ③质疑人在递交质疑函时除应提供本招标文件规定的相关材料外，还须提供质疑人已在福建省政府采购网上公开信息系统上获取招标文件的证明文件（体现查看时间或获取招标文件时间，查看时间或获取招标文件时间以福建省政府采购网上公开信息系统记载为准。），否则递交的质疑函将不予受理。 (4)无效标条款： 以下为可能导致投标无效的条款，具体内容详见招标文件各章节，请各投标人认真查看对照。 ①投标有效期不符合招标文件第二章投标人须知前附表中表1第4项号规定的； ②出现招标文件第二章投标人须知前附表中表2“关于电子招标投标活动的专门规定”中投标无效规定的； ③出现招标文件第三章投标人须知第9项、第10.6项、第10.8项、第10.9项、第10.12项条款中投标无效规定的； ④出现招标文件第四章资格审查与评标第1.4项、第6.2项、第6.3项、第6.4项、第6.7项、第6.9项、第7项、第8.3项条款中投标无效规定的； ⑤出现招标文件第五章招标内容及要求中投标无效规定或“★”标示的内容为负偏离的。</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a.通过远程参与开标流程的投标人，投标人可远程线上解密（相关操作手册可查看福建省政府采购网首页操作指南），现场参与开标流程的投标人请携带CA证书到开标现场进行解密，选择携带CA证书并由代理机构进行解密的应在投标截止时间前到达开标现场，否则不予接收。投标人选择远程线上解密的，无须将CA证书送至开标地点。b.投标人不到开标现场的，请在开标时自行登录采购系统，线上参与开标流程，并按规定在相应时段对投标文件进行远程解密、远程签章。c.投标人应确保自身设施、设备、网络环境状况良好，在操作过程中因投标人自身原因造成无法正常观看开标流程、远程解密或签章的，后果由投标人自行承担。d.在规定的时间内正确提交电子投标文件的投标人在开标时将由系统判定签到情况，投标人应在远程解密开启后在规定时间内使用CA数字证书进行投标文件的解密操作，逾期未解密的视为自行放弃投标。e.开标结束后，投标人应当对开标结果进行签章，并在远程签章开放后的规定时间内完成，逾期未签章的视为认同开标结果。f.远程解密及远程签章的开放起始时间均在开标过程中临时开启，各环节的解密、签章时限规定为30分钟，请投标人务必密切关注实时开标流程，并根据流程在系统内按时操作，否则产生的后果由投标人自行承担。</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福建昇华工程造价咨询有限公司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福建昇华工程造价咨询有限公司</w:t>
      </w:r>
      <w:r>
        <w:rPr/>
        <w:t xml:space="preserve"> 将在投标截止时间至少15个日历日前，在招标文件载明的指定媒体以更正公告的形式发布澄清或修改的内容。不足15个日历日的， </w:t>
      </w:r>
      <w:r>
        <w:rPr/>
        <w:t>福建昇华工程造价咨询有限公司</w:t>
      </w:r>
      <w:r>
        <w:rPr/>
        <w:t xml:space="preserve"> 将顺延投标截止时间及开标时间， </w:t>
      </w:r>
      <w:r>
        <w:rPr/>
        <w:t>福建昇华工程造价咨询有限公司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福建昇华工程造价咨询有限公司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福建昇华工程造价咨询有限公司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福建昇华工程造价咨询有限公司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福建昇华工程造价咨询有限公司</w:t>
      </w:r>
      <w:r>
        <w:rPr/>
        <w:t xml:space="preserve"> 可终止招标并发布终止公告。</w:t>
      </w:r>
    </w:p>
    <w:p>
      <w:pPr>
        <w:pStyle w:val="null3"/>
        <w:ind w:firstLine="480"/>
        <w:jc w:val="both"/>
      </w:pPr>
      <w:r>
        <w:rPr/>
        <w:t xml:space="preserve">8.2终止公告作为 </w:t>
      </w:r>
      <w:r>
        <w:rPr/>
        <w:t>福建昇华工程造价咨询有限公司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福建昇华工程造价咨询有限公司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福建昇华工程造价咨询有限公司</w:t>
      </w:r>
      <w:r>
        <w:rPr/>
        <w:t xml:space="preserve"> 可于投标有效期届满之前书面要求投标人延长投标有效期，投标人应在 </w:t>
      </w:r>
      <w:r>
        <w:rPr/>
        <w:t>福建昇华工程造价咨询有限公司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福建昇华工程造价咨询有限公司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福建昇华工程造价咨询有限公司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福建昇华工程造价咨询有限公司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福建昇华工程造价咨询有限公司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福建昇华工程造价咨询有限公司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福建昇华工程造价咨询有限公司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福建昇华工程造价咨询有限公司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福建昇华工程造价咨询有限公司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福建昇华工程造价咨询有限公司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福建昇华工程造价咨询有限公司</w:t>
      </w:r>
      <w:r>
        <w:rPr/>
        <w:t xml:space="preserve"> 提出询问， </w:t>
      </w:r>
      <w:r>
        <w:rPr/>
        <w:t>福建昇华工程造价咨询有限公司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福建昇华工程造价咨询有限公司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福建昇华工程造价咨询有限公司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由福建昇华工程造价咨询有限公司派出的工作人员至少1人，</w:t>
      </w:r>
      <w:r>
        <w:rPr/>
        <w:t>其余1人可为采购人代表或福建昇华工程造价咨询有限公司的工作人员。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根据中华人民共和国财政部、中华人民共和国工业和信息化部《政府采购促进中小企业发展管理办法》的财库〔2020〕46号文件的规定。 ①本项目专门面向符合财政部、工信部文件（财库〔2020〕46号）规定的中、小、微企业。供应商须提供《中小企业声明函》， 格式见采购文件相关附件。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④纸质响应文件正本中的声明函须为原件。注：本项目为专门面向中小企业采购的项目不再执行价格评审优惠的扶持政策；本项目采购标的对应的中小企业划分标准所属行业为“软件和信息技术服务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资格及资信证明部分中不得出现报价部分的全部或部分的投标报价信息（或组成资料），否则资格性审查不合格。</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福建昇华工程造价咨询有限公司</w:t>
      </w:r>
      <w:r>
        <w:rPr/>
        <w:t xml:space="preserve"> 统一对外发布。</w:t>
      </w:r>
    </w:p>
    <w:p>
      <w:pPr>
        <w:pStyle w:val="null3"/>
        <w:ind w:firstLine="480"/>
        <w:jc w:val="both"/>
      </w:pPr>
      <w:r>
        <w:rPr/>
        <w:t xml:space="preserve">3、资格审查合格的投标人不足三家的，不进行评标。同时，本次采购活动结束， </w:t>
      </w:r>
      <w:r>
        <w:rPr/>
        <w:t>福建昇华工程造价咨询有限公司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福建昇华工程造价咨询有限公司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福建昇华工程造价咨询有限公司</w:t>
      </w:r>
      <w:r>
        <w:rPr/>
        <w:t xml:space="preserve"> 统一对外发布。</w:t>
      </w:r>
    </w:p>
    <w:p>
      <w:pPr>
        <w:pStyle w:val="null3"/>
        <w:ind w:firstLine="480"/>
        <w:jc w:val="both"/>
      </w:pPr>
      <w:r>
        <w:rPr/>
        <w:t xml:space="preserve">②对 </w:t>
      </w:r>
      <w:r>
        <w:rPr/>
        <w:t>福建昇华工程造价咨询有限公司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技术部分中不得出现报价部分的全部或部分的投标报价信息（或组成资料），否则符合性审查不合格。（2）技术部分不符合评标方法和标准中规定的实质性要求条款的，按无效标处理。（3）若投标人的技术部分实际得分少于招标文件设定的技术部分总分50%，即视为技术部分未实质性响应招标文件要求，按无效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（1）商务部分中不得出现报价部分的全部或部分的投标报价信息（或组成资料），否则符合性审查不合格。（2）投标人未在投标文件中完全响应招标文件第五章“三、商务条件”全部内容的，按无效标处理。</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福建昇华工程造价咨询有限公司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技术项（F2×A2）满分为70.00分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1、投标文件响应情况</w:t>
            </w:r>
          </w:p>
        </w:tc>
        <w:tc>
          <w:tcPr>
            <w:tcW w:type="dxa" w:w="831"/>
          </w:tcPr>
          <w:p>
            <w:pPr>
              <w:pStyle w:val="null3"/>
              <w:jc w:val="right"/>
            </w:pPr>
            <w:r>
              <w:rPr/>
              <w:t>37.00</w:t>
            </w:r>
          </w:p>
        </w:tc>
        <w:tc>
          <w:tcPr>
            <w:tcW w:type="dxa" w:w="4153"/>
          </w:tcPr>
          <w:p>
            <w:pPr>
              <w:pStyle w:val="null3"/>
              <w:jc w:val="both"/>
            </w:pPr>
            <w:r>
              <w:rPr/>
              <w:t>据投标人针对招标文件“招标内容及要求”中“技术和服务要求”章节的响应情况，由评委进行评分，完全响应技术指标要求的得37分，其中技术指标带“▲”号每负偏离一项扣3分（6项，共18分），带“△”每负偏离一项扣0.79分（24项，共19分），扣完为止。</w:t>
            </w:r>
          </w:p>
        </w:tc>
      </w:tr>
      <w:tr>
        <w:tc>
          <w:tcPr>
            <w:tcW w:type="dxa" w:w="3322"/>
          </w:tcPr>
          <w:p>
            <w:pPr>
              <w:pStyle w:val="null3"/>
              <w:jc w:val="both"/>
            </w:pPr>
            <w:r>
              <w:rPr/>
              <w:t>2、总体设计方案</w:t>
            </w:r>
          </w:p>
        </w:tc>
        <w:tc>
          <w:tcPr>
            <w:tcW w:type="dxa" w:w="831"/>
          </w:tcPr>
          <w:p>
            <w:pPr>
              <w:pStyle w:val="null3"/>
              <w:jc w:val="right"/>
            </w:pPr>
            <w:r>
              <w:rPr/>
              <w:t>3.00</w:t>
            </w:r>
          </w:p>
        </w:tc>
        <w:tc>
          <w:tcPr>
            <w:tcW w:type="dxa" w:w="4153"/>
          </w:tcPr>
          <w:p>
            <w:pPr>
              <w:pStyle w:val="null3"/>
              <w:jc w:val="both"/>
            </w:pPr>
            <w:r>
              <w:rPr/>
              <w:t>根据投标人针对本项目提供的总体设计方案（包括但不限于①项目背景、②需求分析、③项目建设总体思路等），由评委进行评分：方案中对现状分析透彻，方案完整可行且建议合理、有针对性、内容与要点相符、每个要点均有展开详细的阐述且能够适用于本项目得3分；方案中对现状分析不够透彻、但基本能够适用于本项目的得2分；方案内容与要点相符但仅有纲要、内容简略，未展开详细阐述但基本能够适用于本项目的得1分；未提供或内容明显不适用于本项目需求的均不得分。</w:t>
            </w:r>
          </w:p>
        </w:tc>
      </w:tr>
      <w:tr>
        <w:tc>
          <w:tcPr>
            <w:tcW w:type="dxa" w:w="3322"/>
          </w:tcPr>
          <w:p>
            <w:pPr>
              <w:pStyle w:val="null3"/>
              <w:jc w:val="both"/>
            </w:pPr>
            <w:r>
              <w:rPr/>
              <w:t>3、现状分析</w:t>
            </w:r>
          </w:p>
        </w:tc>
        <w:tc>
          <w:tcPr>
            <w:tcW w:type="dxa" w:w="831"/>
          </w:tcPr>
          <w:p>
            <w:pPr>
              <w:pStyle w:val="null3"/>
              <w:jc w:val="right"/>
            </w:pPr>
            <w:r>
              <w:rPr/>
              <w:t>3.00</w:t>
            </w:r>
          </w:p>
        </w:tc>
        <w:tc>
          <w:tcPr>
            <w:tcW w:type="dxa" w:w="4153"/>
          </w:tcPr>
          <w:p>
            <w:pPr>
              <w:pStyle w:val="null3"/>
              <w:jc w:val="both"/>
            </w:pPr>
            <w:r>
              <w:rPr/>
              <w:t>根据投标人对福建省交通运输厅网站现有软硬件平台现状进行调研，（包括但不限于①应用系统建设情况、②系统部署（包括网络拓扑）、③资源配置情况等内容，以文字和图形方式详细描述和设计），由评委进行评分：方案中对现状分析透彻，方案完整可行且建议合理、有针对性、内容与要点相符、每个要点均有展开详细的阐述且能够适用于本项目得3分；方案中对现状分析不够透彻、但基本能够适用于本项目的得2分；方案内容与要点相符但仅有纲要、内容简略，未展开详细阐述但基本能够适用于本项目的得1分；未提供或内容明显不适用于本项目需求的均不得分。</w:t>
            </w:r>
          </w:p>
        </w:tc>
      </w:tr>
      <w:tr>
        <w:tc>
          <w:tcPr>
            <w:tcW w:type="dxa" w:w="3322"/>
          </w:tcPr>
          <w:p>
            <w:pPr>
              <w:pStyle w:val="null3"/>
              <w:jc w:val="both"/>
            </w:pPr>
            <w:r>
              <w:rPr/>
              <w:t>4、重点、难点问题分析和建议</w:t>
            </w:r>
          </w:p>
        </w:tc>
        <w:tc>
          <w:tcPr>
            <w:tcW w:type="dxa" w:w="831"/>
          </w:tcPr>
          <w:p>
            <w:pPr>
              <w:pStyle w:val="null3"/>
              <w:jc w:val="right"/>
            </w:pPr>
            <w:r>
              <w:rPr/>
              <w:t>3.00</w:t>
            </w:r>
          </w:p>
        </w:tc>
        <w:tc>
          <w:tcPr>
            <w:tcW w:type="dxa" w:w="4153"/>
          </w:tcPr>
          <w:p>
            <w:pPr>
              <w:pStyle w:val="null3"/>
              <w:jc w:val="both"/>
            </w:pPr>
            <w:r>
              <w:rPr/>
              <w:t>根据投标人针对本项目服务过程中可能遇到的重点、难点问题分析和建议情况，由评委进行评分：重点、难点问题分析和建议准确、所提出建议科学合理、内容详细、完整的得3分；提出的分析和建议不够透彻、但基本能够适用于本项目的得2分；提出的分析和建议与要点相符但仅有纲要、内容简略，未展开详细阐述但基本能够适用于本项目的得1分；未提供或内容明显不适用于本项目需求的均不得分。</w:t>
            </w:r>
          </w:p>
        </w:tc>
      </w:tr>
      <w:tr>
        <w:tc>
          <w:tcPr>
            <w:tcW w:type="dxa" w:w="3322"/>
          </w:tcPr>
          <w:p>
            <w:pPr>
              <w:pStyle w:val="null3"/>
              <w:jc w:val="both"/>
            </w:pPr>
            <w:r>
              <w:rPr/>
              <w:t>5、网站内容保障建议</w:t>
            </w:r>
          </w:p>
        </w:tc>
        <w:tc>
          <w:tcPr>
            <w:tcW w:type="dxa" w:w="831"/>
          </w:tcPr>
          <w:p>
            <w:pPr>
              <w:pStyle w:val="null3"/>
              <w:jc w:val="right"/>
            </w:pPr>
            <w:r>
              <w:rPr/>
              <w:t>3.00</w:t>
            </w:r>
          </w:p>
        </w:tc>
        <w:tc>
          <w:tcPr>
            <w:tcW w:type="dxa" w:w="4153"/>
          </w:tcPr>
          <w:p>
            <w:pPr>
              <w:pStyle w:val="null3"/>
              <w:jc w:val="both"/>
            </w:pPr>
            <w:r>
              <w:rPr/>
              <w:t>根据各投标人提供的网站内容保障建议报告（需依据最新的福建省政府网站绩效考核要求）情况（包括但不限于①从报告的详细程度、②保障建议的合理程度等方面），由评委进行评分：保障建议合理、有针对性、内容与要点相符、每个要点均有展开详细的阐述且能够适用于本项目得3分；保障建议内容对现状分析不够透彻、但基本能够适用于本项目的得2分；保障建议内容与要点相符但仅有纲要、内容简略，未展开详细阐述但基本能够适用于本项目的得1分；未提供或内容明显不适用于本项目需求的均不得分。</w:t>
            </w:r>
          </w:p>
        </w:tc>
      </w:tr>
      <w:tr>
        <w:tc>
          <w:tcPr>
            <w:tcW w:type="dxa" w:w="3322"/>
          </w:tcPr>
          <w:p>
            <w:pPr>
              <w:pStyle w:val="null3"/>
              <w:jc w:val="both"/>
            </w:pPr>
            <w:r>
              <w:rPr/>
              <w:t>6、网站重点信息可视化策划方案</w:t>
            </w:r>
          </w:p>
        </w:tc>
        <w:tc>
          <w:tcPr>
            <w:tcW w:type="dxa" w:w="831"/>
          </w:tcPr>
          <w:p>
            <w:pPr>
              <w:pStyle w:val="null3"/>
              <w:jc w:val="right"/>
            </w:pPr>
            <w:r>
              <w:rPr/>
              <w:t>3.00</w:t>
            </w:r>
          </w:p>
        </w:tc>
        <w:tc>
          <w:tcPr>
            <w:tcW w:type="dxa" w:w="4153"/>
          </w:tcPr>
          <w:p>
            <w:pPr>
              <w:pStyle w:val="null3"/>
              <w:jc w:val="both"/>
            </w:pPr>
            <w:r>
              <w:rPr/>
              <w:t>根据投标人对网站重点信息可视化服务部分提供的策划方案（包括但不限于①提纲规划、②内容提取、③信息布局等内容）, 由评委进行评分：方案中对现状分析透彻，方案完整可行且建议合理、有针对性、内容与要点相符、每个要点均有展开详细的阐述且能够适用于本项目得3分；方案中对现状分析不够透彻、但基本能够适用于本项目的得2分；方案内容与要点相符但仅有纲要、内容简略，未展开详细阐述但基本能够适用于本项目的得1分；未提供或内容明显不适用于本项目需求的均不得分。</w:t>
            </w:r>
          </w:p>
        </w:tc>
      </w:tr>
      <w:tr>
        <w:tc>
          <w:tcPr>
            <w:tcW w:type="dxa" w:w="3322"/>
          </w:tcPr>
          <w:p>
            <w:pPr>
              <w:pStyle w:val="null3"/>
              <w:jc w:val="both"/>
            </w:pPr>
            <w:r>
              <w:rPr/>
              <w:t>7、网站重点信息可视化设计标准规范</w:t>
            </w:r>
          </w:p>
        </w:tc>
        <w:tc>
          <w:tcPr>
            <w:tcW w:type="dxa" w:w="831"/>
          </w:tcPr>
          <w:p>
            <w:pPr>
              <w:pStyle w:val="null3"/>
              <w:jc w:val="right"/>
            </w:pPr>
            <w:r>
              <w:rPr/>
              <w:t>3.00</w:t>
            </w:r>
          </w:p>
        </w:tc>
        <w:tc>
          <w:tcPr>
            <w:tcW w:type="dxa" w:w="4153"/>
          </w:tcPr>
          <w:p>
            <w:pPr>
              <w:pStyle w:val="null3"/>
              <w:jc w:val="both"/>
            </w:pPr>
            <w:r>
              <w:rPr/>
              <w:t>根据投标人对网站重点信息可视化服务部分提供的设计标准规范，（包括但不限于①布局规范、②颜色规范、③页面要素规范等方面）由评委进行评议，提供的内容详细、完整的得3分；提供的内容较详细、较完整的得2分；提供的内容不详细、不完整的得1分。未提供的不得分。</w:t>
            </w:r>
          </w:p>
        </w:tc>
      </w:tr>
      <w:tr>
        <w:tc>
          <w:tcPr>
            <w:tcW w:type="dxa" w:w="3322"/>
          </w:tcPr>
          <w:p>
            <w:pPr>
              <w:pStyle w:val="null3"/>
              <w:jc w:val="both"/>
            </w:pPr>
            <w:r>
              <w:rPr/>
              <w:t>8、网站重点信息可视化效果图</w:t>
            </w:r>
          </w:p>
        </w:tc>
        <w:tc>
          <w:tcPr>
            <w:tcW w:type="dxa" w:w="831"/>
          </w:tcPr>
          <w:p>
            <w:pPr>
              <w:pStyle w:val="null3"/>
              <w:jc w:val="right"/>
            </w:pPr>
            <w:r>
              <w:rPr/>
              <w:t>3.00</w:t>
            </w:r>
          </w:p>
        </w:tc>
        <w:tc>
          <w:tcPr>
            <w:tcW w:type="dxa" w:w="4153"/>
          </w:tcPr>
          <w:p>
            <w:pPr>
              <w:pStyle w:val="null3"/>
              <w:jc w:val="both"/>
            </w:pPr>
            <w:r>
              <w:rPr/>
              <w:t>根据投标人选取网站中的政策文件进行解读并可视化效果图，由评委进行横向对比评议并评分：设计效果图有精美配图且色彩搭配协调的得3分，简单配图且色彩搭配一般的得2分，无提供配图且色彩搭配差的得1分，未提供设计效果图的不得分。</w:t>
            </w:r>
          </w:p>
        </w:tc>
      </w:tr>
      <w:tr>
        <w:tc>
          <w:tcPr>
            <w:tcW w:type="dxa" w:w="3322"/>
          </w:tcPr>
          <w:p>
            <w:pPr>
              <w:pStyle w:val="null3"/>
              <w:jc w:val="both"/>
            </w:pPr>
            <w:r>
              <w:rPr/>
              <w:t>9、项目实施方案</w:t>
            </w:r>
          </w:p>
        </w:tc>
        <w:tc>
          <w:tcPr>
            <w:tcW w:type="dxa" w:w="831"/>
          </w:tcPr>
          <w:p>
            <w:pPr>
              <w:pStyle w:val="null3"/>
              <w:jc w:val="right"/>
            </w:pPr>
            <w:r>
              <w:rPr/>
              <w:t>3.00</w:t>
            </w:r>
          </w:p>
        </w:tc>
        <w:tc>
          <w:tcPr>
            <w:tcW w:type="dxa" w:w="4153"/>
          </w:tcPr>
          <w:p>
            <w:pPr>
              <w:pStyle w:val="null3"/>
              <w:jc w:val="both"/>
            </w:pPr>
            <w:r>
              <w:rPr/>
              <w:t>根据投标人针对本项目制定的项目实施方案，包括但不限于项目的①组织机构、管理体系、②维护总结等方面等情况，由评委进行评分：方案中对现状分析透彻，方案完整可行且建议合理、有针对性、内容与要点相符、每个要点均有展开详细的阐述且能够适用于本项目得3分；方案中对现状分析不够透彻、但基本能够适用于本项目的得2分；方案内容与要点相符但仅有纲要、内容简略，未展开详细阐述但基本能够适用于本项目的得1分；未提供或内容明显不适用于本项目需求的均不得分。</w:t>
            </w:r>
          </w:p>
        </w:tc>
      </w:tr>
      <w:tr>
        <w:tc>
          <w:tcPr>
            <w:tcW w:type="dxa" w:w="3322"/>
          </w:tcPr>
          <w:p>
            <w:pPr>
              <w:pStyle w:val="null3"/>
              <w:jc w:val="both"/>
            </w:pPr>
            <w:r>
              <w:rPr/>
              <w:t>10、项目维护方案</w:t>
            </w:r>
          </w:p>
        </w:tc>
        <w:tc>
          <w:tcPr>
            <w:tcW w:type="dxa" w:w="831"/>
          </w:tcPr>
          <w:p>
            <w:pPr>
              <w:pStyle w:val="null3"/>
              <w:jc w:val="right"/>
            </w:pPr>
            <w:r>
              <w:rPr/>
              <w:t>3.00</w:t>
            </w:r>
          </w:p>
        </w:tc>
        <w:tc>
          <w:tcPr>
            <w:tcW w:type="dxa" w:w="4153"/>
          </w:tcPr>
          <w:p>
            <w:pPr>
              <w:pStyle w:val="null3"/>
              <w:jc w:val="both"/>
            </w:pPr>
            <w:r>
              <w:rPr/>
              <w:t>根据投标人针对本项目所提供的运行维护整体方案（包括但不限于①技术运行维护内容、②运行维护计划、③运行维护时间、④运行维护管理体系、⑤运行维护质量体系、⑥运行维护文档)，由评委进行评分：方案中对现状分析透彻，方案完整可行且建议合理、有针对性、内容与要点相符、每个要点均有展开详细的阐述且能够适用于本项目得3分；方案中对现状分析不够透彻、但基本能够适用于本项目的得2分；方案内容与要点相符但仅有纲要、内容简略，未展开详细阐述但基本能够适用于本项目的得1分；未提供或内容明显不适用于本项目需求的均不得分。</w:t>
            </w:r>
          </w:p>
        </w:tc>
      </w:tr>
      <w:tr>
        <w:tc>
          <w:tcPr>
            <w:tcW w:type="dxa" w:w="3322"/>
          </w:tcPr>
          <w:p>
            <w:pPr>
              <w:pStyle w:val="null3"/>
              <w:jc w:val="both"/>
            </w:pPr>
            <w:r>
              <w:rPr/>
              <w:t>11、应急保障服务方案</w:t>
            </w:r>
          </w:p>
        </w:tc>
        <w:tc>
          <w:tcPr>
            <w:tcW w:type="dxa" w:w="831"/>
          </w:tcPr>
          <w:p>
            <w:pPr>
              <w:pStyle w:val="null3"/>
              <w:jc w:val="right"/>
            </w:pPr>
            <w:r>
              <w:rPr/>
              <w:t>3.00</w:t>
            </w:r>
          </w:p>
        </w:tc>
        <w:tc>
          <w:tcPr>
            <w:tcW w:type="dxa" w:w="4153"/>
          </w:tcPr>
          <w:p>
            <w:pPr>
              <w:pStyle w:val="null3"/>
              <w:jc w:val="both"/>
            </w:pPr>
            <w:r>
              <w:rPr/>
              <w:t>根据投标人针对本项目提供的应急保障服务方案（包括但不限于：①具体的故障响应时间、②响应方式、③维修服务能力等），由评委进行评分：方案中对现状分析透彻，方案完整可行且建议合理、有针对性、内容与要点相符、每个要点均有展开详细的阐述且能够适用于本项目得3分；方案中对现状分析不够透彻、但基本能够适用于本项目的得2分；方案内容与要点相符但仅有纲要、内容简略，未展开详细阐述但基本能够适用于本项目的得1分；未提供或内容明显不适用于本项目需求的均不得分。</w:t>
            </w:r>
          </w:p>
        </w:tc>
      </w:tr>
      <w:tr>
        <w:tc>
          <w:tcPr>
            <w:tcW w:type="dxa" w:w="3322"/>
          </w:tcPr>
          <w:p>
            <w:pPr>
              <w:pStyle w:val="null3"/>
              <w:jc w:val="both"/>
            </w:pPr>
            <w:r>
              <w:rPr/>
              <w:t>12、安全性方案</w:t>
            </w:r>
          </w:p>
        </w:tc>
        <w:tc>
          <w:tcPr>
            <w:tcW w:type="dxa" w:w="831"/>
          </w:tcPr>
          <w:p>
            <w:pPr>
              <w:pStyle w:val="null3"/>
              <w:jc w:val="right"/>
            </w:pPr>
            <w:r>
              <w:rPr/>
              <w:t>3.00</w:t>
            </w:r>
          </w:p>
        </w:tc>
        <w:tc>
          <w:tcPr>
            <w:tcW w:type="dxa" w:w="4153"/>
          </w:tcPr>
          <w:p>
            <w:pPr>
              <w:pStyle w:val="null3"/>
              <w:jc w:val="both"/>
            </w:pPr>
            <w:r>
              <w:rPr/>
              <w:t>根据投标人提供的安全性设计方案，包含①网络安全；②应用安全等，每提供一项内容分析得1.5分，满分3分。需提供安全性设计的详细说明，否则不得分。</w:t>
            </w:r>
          </w:p>
        </w:tc>
      </w:tr>
    </w:tbl>
    <w:p>
      <w:pPr>
        <w:pStyle w:val="null3"/>
        <w:jc w:val="both"/>
      </w:pPr>
      <w:r>
        <w:rPr/>
        <w:t>商务项（F3×A3）满分为20.00分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1、团队人员1</w:t>
            </w:r>
          </w:p>
        </w:tc>
        <w:tc>
          <w:tcPr>
            <w:tcW w:type="dxa" w:w="831"/>
          </w:tcPr>
          <w:p>
            <w:pPr>
              <w:pStyle w:val="null3"/>
              <w:jc w:val="right"/>
            </w:pPr>
            <w:r>
              <w:rPr/>
              <w:t>2.00</w:t>
            </w:r>
          </w:p>
        </w:tc>
        <w:tc>
          <w:tcPr>
            <w:tcW w:type="dxa" w:w="4153"/>
          </w:tcPr>
          <w:p>
            <w:pPr>
              <w:pStyle w:val="null3"/>
              <w:jc w:val="both"/>
            </w:pPr>
            <w:r>
              <w:rPr/>
              <w:t>投标人拟派出的项目经理具有信息系统项目管理师证书、系统集成项目管理工程师的得2分。 注：须提供项目经理身份证复印件、相关证书复印件及投标人投标截止时间前六个月（不含投标截止时间的当月）内任意一个月为其缴纳的社会养老保险凭据复印件加盖投标人公章，未提供或提供不全的不得分。此项人员与其他团队人员不能重复得分。</w:t>
            </w:r>
          </w:p>
        </w:tc>
      </w:tr>
      <w:tr>
        <w:tc>
          <w:tcPr>
            <w:tcW w:type="dxa" w:w="3322"/>
          </w:tcPr>
          <w:p>
            <w:pPr>
              <w:pStyle w:val="null3"/>
              <w:jc w:val="both"/>
            </w:pPr>
            <w:r>
              <w:rPr/>
              <w:t>2、团队人员2</w:t>
            </w:r>
          </w:p>
        </w:tc>
        <w:tc>
          <w:tcPr>
            <w:tcW w:type="dxa" w:w="831"/>
          </w:tcPr>
          <w:p>
            <w:pPr>
              <w:pStyle w:val="null3"/>
              <w:jc w:val="right"/>
            </w:pPr>
            <w:r>
              <w:rPr/>
              <w:t>2.00</w:t>
            </w:r>
          </w:p>
        </w:tc>
        <w:tc>
          <w:tcPr>
            <w:tcW w:type="dxa" w:w="4153"/>
          </w:tcPr>
          <w:p>
            <w:pPr>
              <w:pStyle w:val="null3"/>
              <w:jc w:val="both"/>
            </w:pPr>
            <w:r>
              <w:rPr/>
              <w:t>投标人拟派出的项目技术负责人具有高级软件技术开发工程师证书、高级网络信息安全工程师证书的得2分（未提供或提供不全的不得分）。 注：须提供技术负责人身份证复印件、相关证书复印件及投标人投标截止时间前六个月（不含投标截止时间的当月）内任意一个月为其缴纳的社会养老保险凭据复印件加盖投标人公章，未提供或提供不全的不得分。此项人员与其他团队人员不能重复得分。</w:t>
            </w:r>
          </w:p>
        </w:tc>
      </w:tr>
      <w:tr>
        <w:tc>
          <w:tcPr>
            <w:tcW w:type="dxa" w:w="3322"/>
          </w:tcPr>
          <w:p>
            <w:pPr>
              <w:pStyle w:val="null3"/>
              <w:jc w:val="both"/>
            </w:pPr>
            <w:r>
              <w:rPr/>
              <w:t>3、团队人员3</w:t>
            </w:r>
          </w:p>
        </w:tc>
        <w:tc>
          <w:tcPr>
            <w:tcW w:type="dxa" w:w="831"/>
          </w:tcPr>
          <w:p>
            <w:pPr>
              <w:pStyle w:val="null3"/>
              <w:jc w:val="right"/>
            </w:pPr>
            <w:r>
              <w:rPr/>
              <w:t>2.00</w:t>
            </w:r>
          </w:p>
        </w:tc>
        <w:tc>
          <w:tcPr>
            <w:tcW w:type="dxa" w:w="4153"/>
          </w:tcPr>
          <w:p>
            <w:pPr>
              <w:pStyle w:val="null3"/>
              <w:jc w:val="both"/>
            </w:pPr>
            <w:r>
              <w:rPr/>
              <w:t>投标人拟派出的服务团队中人员具有ITSS服务工程师证书，每提供1名得1分，满分2分。 注：须提供相关证书复印件及投标人投标截止时间前六个月（不含投标截止时间的当月）内任意一个月为其缴纳的社会养老保险凭据复印件加盖投标人公章，未提供或提供不全的不得分。此项人员与其他团队人员不能重复得分。</w:t>
            </w:r>
          </w:p>
        </w:tc>
      </w:tr>
      <w:tr>
        <w:tc>
          <w:tcPr>
            <w:tcW w:type="dxa" w:w="3322"/>
          </w:tcPr>
          <w:p>
            <w:pPr>
              <w:pStyle w:val="null3"/>
              <w:jc w:val="both"/>
            </w:pPr>
            <w:r>
              <w:rPr/>
              <w:t>4、团队人员4</w:t>
            </w:r>
          </w:p>
        </w:tc>
        <w:tc>
          <w:tcPr>
            <w:tcW w:type="dxa" w:w="831"/>
          </w:tcPr>
          <w:p>
            <w:pPr>
              <w:pStyle w:val="null3"/>
              <w:jc w:val="right"/>
            </w:pPr>
            <w:r>
              <w:rPr/>
              <w:t>2.00</w:t>
            </w:r>
          </w:p>
        </w:tc>
        <w:tc>
          <w:tcPr>
            <w:tcW w:type="dxa" w:w="4153"/>
          </w:tcPr>
          <w:p>
            <w:pPr>
              <w:pStyle w:val="null3"/>
              <w:jc w:val="both"/>
            </w:pPr>
            <w:r>
              <w:rPr/>
              <w:t>投标人服务团队中具有软件设计师证书的得1分；具有高级平面设计师或UI设计师证书的得1分。（服务团队同一人员具有两种证书的，得1分，同一人员不重复得分） 注：须注提供相关证书复印件及投标人单位缴纳在投标截止时间前6个月（不含投标截止时间的当月）中任一月份的社会养老保险证明材料复印件，未提供或提供的材料不齐全的不得分。</w:t>
            </w:r>
          </w:p>
        </w:tc>
      </w:tr>
      <w:tr>
        <w:tc>
          <w:tcPr>
            <w:tcW w:type="dxa" w:w="3322"/>
          </w:tcPr>
          <w:p>
            <w:pPr>
              <w:pStyle w:val="null3"/>
              <w:jc w:val="both"/>
            </w:pPr>
            <w:r>
              <w:rPr/>
              <w:t>5、团队人员5</w:t>
            </w:r>
          </w:p>
        </w:tc>
        <w:tc>
          <w:tcPr>
            <w:tcW w:type="dxa" w:w="831"/>
          </w:tcPr>
          <w:p>
            <w:pPr>
              <w:pStyle w:val="null3"/>
              <w:jc w:val="right"/>
            </w:pPr>
            <w:r>
              <w:rPr/>
              <w:t>3.00</w:t>
            </w:r>
          </w:p>
        </w:tc>
        <w:tc>
          <w:tcPr>
            <w:tcW w:type="dxa" w:w="4153"/>
          </w:tcPr>
          <w:p>
            <w:pPr>
              <w:pStyle w:val="null3"/>
              <w:jc w:val="both"/>
            </w:pPr>
            <w:r>
              <w:rPr/>
              <w:t>投标人拟派出服务团队人员中具有政府网站项目建设经验的，每提供1名得1分，满分3分。 注：须提供业主单位盖章的相关证明材料复印件及投标人投标截止时间前六个月（不含投标截止时间的当月）内任意一个月为其缴纳的社会养老保险凭据复印件加盖投标人公章，未提供或提供不全的不得分。此项人员与其他团队人员不能重复得分。</w:t>
            </w:r>
          </w:p>
        </w:tc>
      </w:tr>
      <w:tr>
        <w:tc>
          <w:tcPr>
            <w:tcW w:type="dxa" w:w="3322"/>
          </w:tcPr>
          <w:p>
            <w:pPr>
              <w:pStyle w:val="null3"/>
              <w:jc w:val="both"/>
            </w:pPr>
            <w:r>
              <w:rPr/>
              <w:t>6、业绩情况</w:t>
            </w:r>
          </w:p>
        </w:tc>
        <w:tc>
          <w:tcPr>
            <w:tcW w:type="dxa" w:w="831"/>
          </w:tcPr>
          <w:p>
            <w:pPr>
              <w:pStyle w:val="null3"/>
              <w:jc w:val="right"/>
            </w:pPr>
            <w:r>
              <w:rPr/>
              <w:t>3.00</w:t>
            </w:r>
          </w:p>
        </w:tc>
        <w:tc>
          <w:tcPr>
            <w:tcW w:type="dxa" w:w="4153"/>
          </w:tcPr>
          <w:p>
            <w:pPr>
              <w:pStyle w:val="null3"/>
              <w:jc w:val="both"/>
            </w:pPr>
            <w:r>
              <w:rPr/>
              <w:t>根据投标人提供的自招标公告发布之日的前5年内（日期以验收证明为准），投标人作为独立承包人承担过同类项目的业绩情况进行评分，每提供一份齐全的业绩证明材料的得0.5分，满分3分。投标人须提供该案例项目的中标公告（提供相关网站中标公告的下载网页并注明网址）、中标通知书复印件、采购合同文本复印件，以及能够证明该业绩项目已经采购人验收合格的相关证明文件复印件，并加盖投标人单位公章。未提供或提供不全者不得分。 注：此项业绩与“7、用户评价情况”不能重复得分。</w:t>
            </w:r>
          </w:p>
        </w:tc>
      </w:tr>
      <w:tr>
        <w:tc>
          <w:tcPr>
            <w:tcW w:type="dxa" w:w="3322"/>
          </w:tcPr>
          <w:p>
            <w:pPr>
              <w:pStyle w:val="null3"/>
              <w:jc w:val="both"/>
            </w:pPr>
            <w:r>
              <w:rPr/>
              <w:t>7、用户评价情况</w:t>
            </w:r>
          </w:p>
        </w:tc>
        <w:tc>
          <w:tcPr>
            <w:tcW w:type="dxa" w:w="831"/>
          </w:tcPr>
          <w:p>
            <w:pPr>
              <w:pStyle w:val="null3"/>
              <w:jc w:val="right"/>
            </w:pPr>
            <w:r>
              <w:rPr/>
              <w:t>3.00</w:t>
            </w:r>
          </w:p>
        </w:tc>
        <w:tc>
          <w:tcPr>
            <w:tcW w:type="dxa" w:w="4153"/>
          </w:tcPr>
          <w:p>
            <w:pPr>
              <w:pStyle w:val="null3"/>
              <w:jc w:val="both"/>
            </w:pPr>
            <w:r>
              <w:rPr/>
              <w:t>投标人提供的用户服务好评度情况进行评分，自2019年1月1日至本项目投标截止时间止，同类型项目采购人单位出具的用户好评度表（对投标人的服务持肯定、好评态度的证明）。由评委进行评分：每提供一份好评意见表或证明的得1分，满分3分。 注：须提供加盖采购人公章的业主好评度证明的复印件，并加盖投标人单位公章。此项业绩与“6、业绩情况”不能重复得分。</w:t>
            </w:r>
          </w:p>
        </w:tc>
      </w:tr>
      <w:tr>
        <w:tc>
          <w:tcPr>
            <w:tcW w:type="dxa" w:w="3322"/>
          </w:tcPr>
          <w:p>
            <w:pPr>
              <w:pStyle w:val="null3"/>
              <w:jc w:val="both"/>
            </w:pPr>
            <w:r>
              <w:rPr/>
              <w:t>8、售后服务能力</w:t>
            </w:r>
          </w:p>
        </w:tc>
        <w:tc>
          <w:tcPr>
            <w:tcW w:type="dxa" w:w="831"/>
          </w:tcPr>
          <w:p>
            <w:pPr>
              <w:pStyle w:val="null3"/>
              <w:jc w:val="right"/>
            </w:pPr>
            <w:r>
              <w:rPr/>
              <w:t>3.00</w:t>
            </w:r>
          </w:p>
        </w:tc>
        <w:tc>
          <w:tcPr>
            <w:tcW w:type="dxa" w:w="4153"/>
          </w:tcPr>
          <w:p>
            <w:pPr>
              <w:pStyle w:val="null3"/>
              <w:jc w:val="both"/>
            </w:pPr>
            <w:r>
              <w:rPr/>
              <w:t>根据投标人所承诺的故障服务响应时间，由评委进行评分，承诺1小时内到达现场的得3分，承诺1小时～2小时内到达现场的得2分，承诺2小时～4小时内到达现场的得1分，超过4小时的不得分。 注：须提供承诺书（格式自拟），未提供或虚假承诺的不得分。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outlineLvl w:val="1"/>
      </w:pPr>
      <w:r>
        <w:rPr>
          <w:rFonts w:ascii="宋体" w:hAnsi="宋体" w:cs="宋体" w:eastAsia="宋体"/>
          <w:b/>
          <w:sz w:val="20"/>
        </w:rPr>
        <w:t>1、项目建设背景</w:t>
      </w:r>
    </w:p>
    <w:p>
      <w:pPr>
        <w:pStyle w:val="null3"/>
        <w:ind w:firstLine="480"/>
        <w:jc w:val="both"/>
      </w:pPr>
      <w:r>
        <w:rPr>
          <w:rFonts w:ascii="宋体" w:hAnsi="宋体" w:cs="宋体" w:eastAsia="宋体"/>
          <w:sz w:val="20"/>
        </w:rPr>
        <w:t>近年来，国务院办公厅、省政府办公厅先后发布了相关文件，对政府网站的建设工作都提出了相应要求：</w:t>
      </w:r>
    </w:p>
    <w:p>
      <w:pPr>
        <w:pStyle w:val="null3"/>
        <w:ind w:firstLine="480"/>
        <w:jc w:val="both"/>
      </w:pPr>
      <w:r>
        <w:rPr>
          <w:rFonts w:ascii="宋体" w:hAnsi="宋体" w:cs="宋体" w:eastAsia="宋体"/>
          <w:sz w:val="20"/>
        </w:rPr>
        <w:t>《国务院办公厅关于印发政府网站发展指引的通知》要求：围绕残疾人、老年人等特殊群体获取网站信息的需求，不断提升信息无障碍水平。《国务院办公厅秘书局关于印发政府网站与政务新媒体检查指标、监管工作年度考核指标的通知》要求：各地区、各部门要进一步加强和完善政府网站及政务新媒体日常管理和常态化监管工作。国务院办公厅将每半年对全国政府网站及政务新媒体运行情况进行抽查，每年度对有关监管工作进行考核，抽查和考核结果将予以公开通报。网站出现严重表述错误。发布或链接反动、暴力、色情等内容，网站则单项否决。</w:t>
      </w:r>
    </w:p>
    <w:p>
      <w:pPr>
        <w:pStyle w:val="null3"/>
        <w:ind w:firstLine="480"/>
        <w:jc w:val="both"/>
      </w:pPr>
      <w:r>
        <w:rPr>
          <w:rFonts w:ascii="宋体" w:hAnsi="宋体" w:cs="宋体" w:eastAsia="宋体"/>
          <w:sz w:val="20"/>
        </w:rPr>
        <w:t>《福建省政府网站与政务新媒体绩效考核指标》要求：本地区重要政策文件公开后</w:t>
      </w:r>
      <w:r>
        <w:rPr>
          <w:rFonts w:ascii="宋体" w:hAnsi="宋体" w:cs="宋体" w:eastAsia="宋体"/>
          <w:sz w:val="20"/>
        </w:rPr>
        <w:t xml:space="preserve"> 3 个工作日内发布解读材料，详细介绍政策的背景依据、目标任务、主要内容和解决的问题等，从公众生产生活实际需求出发，对政策文件及解读材料进行梳理、分类、提炼、精简，重新归纳组织，通过数字化、图表图解、动漫等形式予以展现。</w:t>
      </w:r>
    </w:p>
    <w:p>
      <w:pPr>
        <w:pStyle w:val="null3"/>
        <w:ind w:firstLine="480"/>
        <w:jc w:val="both"/>
      </w:pPr>
      <w:r>
        <w:rPr>
          <w:rFonts w:ascii="宋体" w:hAnsi="宋体" w:cs="宋体" w:eastAsia="宋体"/>
          <w:sz w:val="20"/>
        </w:rPr>
        <w:t>对标政策文件、考核指标以及国内先进政府网站，目前厅网站在对外服务个性化、服务模式创新、功能特色等还有待提升。为持续提升厅网站的对外服务水平，通过对厅网站功能拓展与服务提升，满足政策文件和考核指标要求，所以本项目建设亟待开展。</w:t>
      </w:r>
    </w:p>
    <w:p>
      <w:pPr>
        <w:pStyle w:val="null3"/>
        <w:ind w:firstLine="480"/>
        <w:jc w:val="left"/>
        <w:outlineLvl w:val="1"/>
      </w:pPr>
      <w:r>
        <w:rPr>
          <w:rFonts w:ascii="宋体" w:hAnsi="宋体" w:cs="宋体" w:eastAsia="宋体"/>
          <w:b/>
          <w:sz w:val="20"/>
        </w:rPr>
        <w:t>2、建设目标</w:t>
      </w:r>
    </w:p>
    <w:p>
      <w:pPr>
        <w:pStyle w:val="null3"/>
        <w:ind w:firstLine="480"/>
        <w:jc w:val="both"/>
      </w:pPr>
      <w:r>
        <w:rPr>
          <w:rFonts w:ascii="宋体" w:hAnsi="宋体" w:cs="宋体" w:eastAsia="宋体"/>
          <w:sz w:val="20"/>
        </w:rPr>
        <w:t>本项目充分响应了国办、省委、省政府相关文件精神要求，在建设上立足于厅网站</w:t>
      </w:r>
      <w:r>
        <w:rPr>
          <w:rFonts w:ascii="宋体" w:hAnsi="宋体" w:cs="宋体" w:eastAsia="宋体"/>
          <w:color w:val="000000"/>
          <w:sz w:val="20"/>
        </w:rPr>
        <w:t>的实际情况，通过本次项目建设，能够提升</w:t>
      </w:r>
      <w:r>
        <w:rPr>
          <w:rFonts w:ascii="宋体" w:hAnsi="宋体" w:cs="宋体" w:eastAsia="宋体"/>
          <w:color w:val="000000"/>
          <w:sz w:val="20"/>
        </w:rPr>
        <w:t>厅</w:t>
      </w:r>
      <w:r>
        <w:rPr>
          <w:rFonts w:ascii="宋体" w:hAnsi="宋体" w:cs="宋体" w:eastAsia="宋体"/>
          <w:color w:val="000000"/>
          <w:sz w:val="20"/>
        </w:rPr>
        <w:t>网站</w:t>
      </w:r>
      <w:r>
        <w:rPr>
          <w:rFonts w:ascii="宋体" w:hAnsi="宋体" w:cs="宋体" w:eastAsia="宋体"/>
          <w:color w:val="000000"/>
          <w:sz w:val="20"/>
        </w:rPr>
        <w:t>整体服务水平</w:t>
      </w:r>
      <w:r>
        <w:rPr>
          <w:rFonts w:ascii="宋体" w:hAnsi="宋体" w:cs="宋体" w:eastAsia="宋体"/>
          <w:sz w:val="20"/>
        </w:rPr>
        <w:t>，打造具有交通特色，整体协同，全省统一、规范、权威、良好的网上政府形象，实现对外服务统一门户。为公众和企业提供更加智能化、个性化、高质量的政务服务、公共服务和便民服务，实现网站对外服务人性化。优化用户体验，将厅网站打造成更加及时的政务公开平台、更加权威的政策发布平台、更加便捷的公众服务平台。</w:t>
      </w:r>
    </w:p>
    <w:p>
      <w:pPr>
        <w:pStyle w:val="null3"/>
        <w:ind w:firstLine="480"/>
        <w:jc w:val="left"/>
        <w:outlineLvl w:val="1"/>
      </w:pPr>
      <w:r>
        <w:rPr>
          <w:rFonts w:ascii="宋体" w:hAnsi="宋体" w:cs="宋体" w:eastAsia="宋体"/>
          <w:b/>
          <w:sz w:val="20"/>
        </w:rPr>
        <w:t>3、项目建设内容</w:t>
      </w:r>
    </w:p>
    <w:p>
      <w:pPr>
        <w:pStyle w:val="null3"/>
        <w:ind w:firstLine="480"/>
        <w:jc w:val="both"/>
      </w:pPr>
      <w:r>
        <w:rPr>
          <w:rFonts w:ascii="宋体" w:hAnsi="宋体" w:cs="宋体" w:eastAsia="宋体"/>
          <w:sz w:val="20"/>
        </w:rPr>
        <w:t>本次项目将完成</w:t>
      </w:r>
      <w:r>
        <w:rPr>
          <w:rFonts w:ascii="宋体" w:hAnsi="宋体" w:cs="宋体" w:eastAsia="宋体"/>
          <w:sz w:val="20"/>
        </w:rPr>
        <w:t>2024年交通运输厅网站运维及服务项目，包括厅无障碍云服务、重点信息可视化服务、网站内容保障建议服务、网站错链接死链接检查服务、网站错别字监测服务（发布后）、网站意识形态监测服务、网站个性化运维服务、人员驻点服务。</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b/>
          <w:sz w:val="20"/>
          <w:shd w:fill="FFFFFF" w:val="clear"/>
        </w:rPr>
        <w:t>(</w:t>
      </w:r>
      <w:r>
        <w:rPr>
          <w:rFonts w:ascii="宋体" w:hAnsi="宋体" w:cs="宋体" w:eastAsia="宋体"/>
          <w:b/>
          <w:sz w:val="20"/>
          <w:shd w:fill="FFFFFF" w:val="clear"/>
        </w:rPr>
        <w:t>评审指标</w:t>
      </w:r>
      <w:r>
        <w:rPr>
          <w:rFonts w:ascii="宋体" w:hAnsi="宋体" w:cs="宋体" w:eastAsia="宋体"/>
          <w:b/>
          <w:sz w:val="20"/>
          <w:shd w:fill="FFFFFF" w:val="clear"/>
        </w:rPr>
        <w:t>1）</w:t>
      </w:r>
      <w:r>
        <w:rPr>
          <w:rFonts w:ascii="宋体" w:hAnsi="宋体" w:cs="宋体" w:eastAsia="宋体"/>
          <w:b/>
          <w:sz w:val="20"/>
          <w:shd w:fill="FFFFFF" w:val="clear"/>
        </w:rPr>
        <w:t>▲投标人须承诺能够基于福建省级政府网站统一技术平台完成2024年交通运输厅网站运维及服务项目工作，满足福建省交通运输厅网站服务要求（包括无障碍云服务、重点信息可视化服务、网站内容保障建议服务、网站错链接死链接检查服务、网站错别字监测服务（发布后）、网站意识形态监测服务、网站个性化运维服务），如涉及接口开发费用由投标人自行承担，并提供承诺函，格式自拟。</w:t>
      </w:r>
    </w:p>
    <w:p>
      <w:pPr>
        <w:pStyle w:val="null3"/>
        <w:jc w:val="left"/>
        <w:outlineLvl w:val="1"/>
      </w:pPr>
      <w:r>
        <w:rPr>
          <w:rFonts w:ascii="宋体" w:hAnsi="宋体" w:cs="宋体" w:eastAsia="宋体"/>
          <w:b/>
          <w:sz w:val="20"/>
        </w:rPr>
        <w:t>1、无障碍云服务</w:t>
      </w:r>
    </w:p>
    <w:p>
      <w:pPr>
        <w:pStyle w:val="null3"/>
        <w:ind w:firstLine="480"/>
        <w:jc w:val="both"/>
      </w:pPr>
      <w:r>
        <w:rPr>
          <w:rFonts w:ascii="宋体" w:hAnsi="宋体" w:cs="宋体" w:eastAsia="宋体"/>
          <w:b/>
          <w:sz w:val="20"/>
          <w:shd w:fill="FFFFFF" w:val="clear"/>
        </w:rPr>
        <w:t>(</w:t>
      </w:r>
      <w:r>
        <w:rPr>
          <w:rFonts w:ascii="宋体" w:hAnsi="宋体" w:cs="宋体" w:eastAsia="宋体"/>
          <w:b/>
          <w:sz w:val="20"/>
          <w:shd w:fill="FFFFFF" w:val="clear"/>
        </w:rPr>
        <w:t>评审指标</w:t>
      </w:r>
      <w:r>
        <w:rPr>
          <w:rFonts w:ascii="宋体" w:hAnsi="宋体" w:cs="宋体" w:eastAsia="宋体"/>
          <w:b/>
          <w:sz w:val="20"/>
          <w:shd w:fill="FFFFFF" w:val="clear"/>
        </w:rPr>
        <w:t>2）</w:t>
      </w:r>
      <w:r>
        <w:rPr>
          <w:rFonts w:ascii="宋体" w:hAnsi="宋体" w:cs="宋体" w:eastAsia="宋体"/>
          <w:color w:val="000000"/>
          <w:sz w:val="20"/>
        </w:rPr>
        <w:t>△</w:t>
      </w:r>
      <w:r>
        <w:rPr>
          <w:rFonts w:ascii="宋体" w:hAnsi="宋体" w:cs="宋体" w:eastAsia="宋体"/>
          <w:color w:val="000000"/>
          <w:sz w:val="20"/>
        </w:rPr>
        <w:t>根据《</w:t>
      </w:r>
      <w:r>
        <w:rPr>
          <w:rFonts w:ascii="宋体" w:hAnsi="宋体" w:cs="宋体" w:eastAsia="宋体"/>
          <w:color w:val="000000"/>
          <w:sz w:val="20"/>
        </w:rPr>
        <w:t>2023年福建省政务公开第三方评估指标体系》的要求：需评估评估各部门网站是否完成适老化与无障碍改造（或是否提供无障碍浏览和老年人模式）。</w:t>
      </w:r>
    </w:p>
    <w:p>
      <w:pPr>
        <w:pStyle w:val="null3"/>
        <w:ind w:firstLine="480"/>
        <w:jc w:val="both"/>
      </w:pPr>
      <w:r>
        <w:rPr>
          <w:rFonts w:ascii="宋体" w:hAnsi="宋体" w:cs="宋体" w:eastAsia="宋体"/>
          <w:b/>
          <w:sz w:val="20"/>
          <w:shd w:fill="FFFFFF" w:val="clear"/>
        </w:rPr>
        <w:t>(</w:t>
      </w:r>
      <w:r>
        <w:rPr>
          <w:rFonts w:ascii="宋体" w:hAnsi="宋体" w:cs="宋体" w:eastAsia="宋体"/>
          <w:b/>
          <w:sz w:val="20"/>
          <w:shd w:fill="FFFFFF" w:val="clear"/>
        </w:rPr>
        <w:t>评审指标</w:t>
      </w:r>
      <w:r>
        <w:rPr>
          <w:rFonts w:ascii="宋体" w:hAnsi="宋体" w:cs="宋体" w:eastAsia="宋体"/>
          <w:b/>
          <w:sz w:val="20"/>
          <w:shd w:fill="FFFFFF" w:val="clear"/>
        </w:rPr>
        <w:t>3）</w:t>
      </w:r>
      <w:r>
        <w:rPr>
          <w:rFonts w:ascii="宋体" w:hAnsi="宋体" w:cs="宋体" w:eastAsia="宋体"/>
          <w:color w:val="000000"/>
          <w:sz w:val="20"/>
        </w:rPr>
        <w:t>△</w:t>
      </w:r>
      <w:r>
        <w:rPr>
          <w:rFonts w:ascii="宋体" w:hAnsi="宋体" w:cs="宋体" w:eastAsia="宋体"/>
          <w:color w:val="000000"/>
          <w:sz w:val="20"/>
        </w:rPr>
        <w:t>本次无障碍云服务主要为老年人提供字体放大缩小、页面放大缩小功能；为斜视人群提供辅助线功能；为色盲色弱人群提供色彩高对比度功能，同时还提供放大镜、简繁转换、拼音标注、语音朗读等辅助获取信息的功能。</w:t>
      </w:r>
    </w:p>
    <w:p>
      <w:pPr>
        <w:pStyle w:val="null3"/>
        <w:spacing w:before="105" w:after="105"/>
        <w:ind w:firstLine="365"/>
        <w:jc w:val="left"/>
      </w:pPr>
      <w:r>
        <w:rPr>
          <w:rFonts w:ascii="宋体" w:hAnsi="宋体" w:cs="宋体" w:eastAsia="宋体"/>
          <w:b/>
          <w:sz w:val="20"/>
          <w:shd w:fill="FFFFFF" w:val="clear"/>
        </w:rPr>
        <w:t>(</w:t>
      </w:r>
      <w:r>
        <w:rPr>
          <w:rFonts w:ascii="宋体" w:hAnsi="宋体" w:cs="宋体" w:eastAsia="宋体"/>
          <w:b/>
          <w:sz w:val="20"/>
          <w:shd w:fill="FFFFFF" w:val="clear"/>
        </w:rPr>
        <w:t>评审指标</w:t>
      </w:r>
      <w:r>
        <w:rPr>
          <w:rFonts w:ascii="宋体" w:hAnsi="宋体" w:cs="宋体" w:eastAsia="宋体"/>
          <w:b/>
          <w:sz w:val="20"/>
          <w:shd w:fill="FFFFFF" w:val="clear"/>
        </w:rPr>
        <w:t>4）</w:t>
      </w:r>
      <w:r>
        <w:rPr>
          <w:rFonts w:ascii="宋体" w:hAnsi="宋体" w:cs="宋体" w:eastAsia="宋体"/>
          <w:color w:val="000000"/>
          <w:sz w:val="20"/>
        </w:rPr>
        <w:t>△</w:t>
      </w:r>
      <w:r>
        <w:rPr>
          <w:rFonts w:ascii="宋体" w:hAnsi="宋体" w:cs="宋体" w:eastAsia="宋体"/>
          <w:b/>
          <w:sz w:val="20"/>
        </w:rPr>
        <w:t>（</w:t>
      </w:r>
      <w:r>
        <w:rPr>
          <w:rFonts w:ascii="宋体" w:hAnsi="宋体" w:cs="宋体" w:eastAsia="宋体"/>
          <w:b/>
          <w:sz w:val="20"/>
        </w:rPr>
        <w:t>1）提示服务和文字说明</w:t>
      </w:r>
    </w:p>
    <w:p>
      <w:pPr>
        <w:pStyle w:val="null3"/>
        <w:spacing w:before="105" w:after="105"/>
        <w:ind w:firstLine="480"/>
        <w:jc w:val="left"/>
      </w:pPr>
      <w:r>
        <w:rPr>
          <w:rFonts w:ascii="宋体" w:hAnsi="宋体" w:cs="宋体" w:eastAsia="宋体"/>
          <w:sz w:val="20"/>
        </w:rPr>
        <w:t>所有网页提供智能盲道和操作提示服务，所有图片和按钮控件均标示文字说明。</w:t>
      </w:r>
    </w:p>
    <w:p>
      <w:pPr>
        <w:pStyle w:val="null3"/>
      </w:pPr>
      <w:r>
        <w:rPr>
          <w:rFonts w:ascii="宋体" w:hAnsi="宋体" w:cs="宋体" w:eastAsia="宋体"/>
          <w:b/>
          <w:sz w:val="20"/>
        </w:rPr>
        <w:t>(</w:t>
      </w:r>
      <w:r>
        <w:rPr>
          <w:rFonts w:ascii="宋体" w:hAnsi="宋体" w:cs="宋体" w:eastAsia="宋体"/>
          <w:b/>
          <w:sz w:val="20"/>
        </w:rPr>
        <w:t>评审指标</w:t>
      </w:r>
      <w:r>
        <w:rPr>
          <w:rFonts w:ascii="宋体" w:hAnsi="宋体" w:cs="宋体" w:eastAsia="宋体"/>
          <w:b/>
          <w:sz w:val="20"/>
        </w:rPr>
        <w:t>5）</w:t>
      </w:r>
      <w:r>
        <w:rPr>
          <w:rFonts w:ascii="宋体" w:hAnsi="宋体" w:cs="宋体" w:eastAsia="宋体"/>
          <w:b/>
          <w:sz w:val="20"/>
        </w:rPr>
        <w:t>▲（2）无障碍网站浏览辅助功能描述</w:t>
      </w:r>
    </w:p>
    <w:p>
      <w:pPr>
        <w:pStyle w:val="null3"/>
      </w:pPr>
      <w:r>
        <w:rPr>
          <w:rFonts w:ascii="宋体" w:hAnsi="宋体" w:cs="宋体" w:eastAsia="宋体"/>
          <w:b/>
          <w:sz w:val="20"/>
        </w:rPr>
        <w:t>（投标人须提供无障碍辅助功能说明及相关截图）</w:t>
      </w:r>
    </w:p>
    <w:p>
      <w:pPr>
        <w:pStyle w:val="null3"/>
        <w:ind w:firstLine="400"/>
      </w:pPr>
      <w:r>
        <w:rPr>
          <w:rFonts w:ascii="宋体" w:hAnsi="宋体" w:cs="宋体" w:eastAsia="宋体"/>
          <w:sz w:val="20"/>
        </w:rPr>
        <w:t>1）</w:t>
      </w:r>
      <w:r>
        <w:rPr>
          <w:rFonts w:ascii="宋体" w:hAnsi="宋体" w:cs="宋体" w:eastAsia="宋体"/>
          <w:sz w:val="20"/>
        </w:rPr>
        <w:t>网页浏览者可根据自己的需求调整网页朗读的语速，支持加快的语速和正常的语速；</w:t>
      </w:r>
    </w:p>
    <w:p>
      <w:pPr>
        <w:pStyle w:val="null3"/>
        <w:ind w:firstLine="400"/>
      </w:pPr>
      <w:r>
        <w:rPr>
          <w:rFonts w:ascii="宋体" w:hAnsi="宋体" w:cs="宋体" w:eastAsia="宋体"/>
          <w:sz w:val="20"/>
        </w:rPr>
        <w:t>2）</w:t>
      </w:r>
      <w:r>
        <w:rPr>
          <w:rFonts w:ascii="宋体" w:hAnsi="宋体" w:cs="宋体" w:eastAsia="宋体"/>
          <w:sz w:val="20"/>
        </w:rPr>
        <w:t>网页浏览者可根据自己的需求自行调整网页文字的大小，点击放大按钮能放大整个网页；点击缩小按钮能缩小整个网页；</w:t>
      </w:r>
    </w:p>
    <w:p>
      <w:pPr>
        <w:pStyle w:val="null3"/>
        <w:ind w:firstLine="400"/>
      </w:pPr>
      <w:r>
        <w:rPr>
          <w:rFonts w:ascii="宋体" w:hAnsi="宋体" w:cs="宋体" w:eastAsia="宋体"/>
          <w:sz w:val="20"/>
        </w:rPr>
        <w:t>3）</w:t>
      </w:r>
      <w:r>
        <w:rPr>
          <w:rFonts w:ascii="宋体" w:hAnsi="宋体" w:cs="宋体" w:eastAsia="宋体"/>
          <w:sz w:val="20"/>
        </w:rPr>
        <w:t>提供页面色彩对比功能</w:t>
      </w:r>
      <w:r>
        <w:rPr>
          <w:rFonts w:ascii="宋体" w:hAnsi="宋体" w:cs="宋体" w:eastAsia="宋体"/>
          <w:sz w:val="20"/>
        </w:rPr>
        <w:t>,所谓页面色彩对比是将当前页面网页的前景内容和背景的颜色对比调到最大，为弱视用户能够清晰地访问网页内容提供了帮助。点击图中圆盘图标可以提供颜色选择，包括白底黑字、蓝底黄字、黄底黑字、黑底黄字；</w:t>
      </w:r>
    </w:p>
    <w:p>
      <w:pPr>
        <w:pStyle w:val="null3"/>
        <w:ind w:firstLine="400"/>
      </w:pPr>
      <w:r>
        <w:rPr>
          <w:rFonts w:ascii="宋体" w:hAnsi="宋体" w:cs="宋体" w:eastAsia="宋体"/>
          <w:sz w:val="20"/>
        </w:rPr>
        <w:t>4）</w:t>
      </w:r>
      <w:r>
        <w:rPr>
          <w:rFonts w:ascii="宋体" w:hAnsi="宋体" w:cs="宋体" w:eastAsia="宋体"/>
          <w:sz w:val="20"/>
        </w:rPr>
        <w:t>提供页面内容放大显示区，会在页面下方出现一个显示区域，该区域会显示当前鼠标所指到的文字信息并进行放大，同时支持简繁体互转及拼音显示。</w:t>
      </w:r>
    </w:p>
    <w:p>
      <w:pPr>
        <w:pStyle w:val="null3"/>
      </w:pPr>
      <w:r>
        <w:rPr>
          <w:rFonts w:ascii="宋体" w:hAnsi="宋体" w:cs="宋体" w:eastAsia="宋体"/>
          <w:b/>
          <w:sz w:val="20"/>
        </w:rPr>
        <w:t>(</w:t>
      </w:r>
      <w:r>
        <w:rPr>
          <w:rFonts w:ascii="宋体" w:hAnsi="宋体" w:cs="宋体" w:eastAsia="宋体"/>
          <w:b/>
          <w:sz w:val="20"/>
        </w:rPr>
        <w:t>评审指标</w:t>
      </w:r>
      <w:r>
        <w:rPr>
          <w:rFonts w:ascii="宋体" w:hAnsi="宋体" w:cs="宋体" w:eastAsia="宋体"/>
          <w:b/>
          <w:sz w:val="20"/>
        </w:rPr>
        <w:t>6</w:t>
      </w:r>
      <w:r>
        <w:rPr>
          <w:rFonts w:ascii="宋体" w:hAnsi="宋体" w:cs="宋体" w:eastAsia="宋体"/>
          <w:b/>
          <w:sz w:val="20"/>
        </w:rPr>
        <w:t>）</w:t>
      </w:r>
      <w:r>
        <w:rPr>
          <w:rFonts w:ascii="宋体" w:hAnsi="宋体" w:cs="宋体" w:eastAsia="宋体"/>
          <w:b/>
          <w:sz w:val="20"/>
        </w:rPr>
        <w:t>△</w:t>
      </w:r>
      <w:r>
        <w:rPr>
          <w:rFonts w:ascii="宋体" w:hAnsi="宋体" w:cs="宋体" w:eastAsia="宋体"/>
          <w:b/>
          <w:sz w:val="20"/>
        </w:rPr>
        <w:t>（</w:t>
      </w:r>
      <w:r>
        <w:rPr>
          <w:rFonts w:ascii="宋体" w:hAnsi="宋体" w:cs="宋体" w:eastAsia="宋体"/>
          <w:b/>
          <w:sz w:val="20"/>
        </w:rPr>
        <w:t>3） 全网站页面可用键盘操作</w:t>
      </w:r>
    </w:p>
    <w:p>
      <w:pPr>
        <w:pStyle w:val="null3"/>
        <w:ind w:firstLine="400"/>
      </w:pPr>
      <w:r>
        <w:rPr>
          <w:rFonts w:ascii="宋体" w:hAnsi="宋体" w:cs="宋体" w:eastAsia="宋体"/>
          <w:sz w:val="20"/>
        </w:rPr>
        <w:t>为方便记忆及使用，定义基础键加数字和符号组合快捷键，复合键多以数字、符号键代替。具体快捷键功能包括关闭无障碍辅助工具、朗读工具条功能、跳转首页、跳转帮助、退出无障碍辅助工具</w:t>
      </w:r>
      <w:r>
        <w:rPr>
          <w:rFonts w:ascii="宋体" w:hAnsi="宋体" w:cs="宋体" w:eastAsia="宋体"/>
          <w:sz w:val="20"/>
        </w:rPr>
        <w:t>、页面后退、页面前进、刷新页面、切换光标、切换纯文本、文字放大、文字缩小、配色开关、页面放大、页面缩小、语音开关、语音调节、指读、连读、切换显示屏、切换全屏、向上选择配色、向下选择配色、减缓语速和加快语速。</w:t>
      </w:r>
    </w:p>
    <w:p>
      <w:pPr>
        <w:pStyle w:val="null3"/>
        <w:ind w:firstLine="402"/>
      </w:pPr>
      <w:r>
        <w:rPr>
          <w:rFonts w:ascii="宋体" w:hAnsi="宋体" w:cs="宋体" w:eastAsia="宋体"/>
          <w:b/>
          <w:sz w:val="20"/>
        </w:rPr>
        <w:t>(</w:t>
      </w:r>
      <w:r>
        <w:rPr>
          <w:rFonts w:ascii="宋体" w:hAnsi="宋体" w:cs="宋体" w:eastAsia="宋体"/>
          <w:b/>
          <w:sz w:val="20"/>
        </w:rPr>
        <w:t>评审指标</w:t>
      </w:r>
      <w:r>
        <w:rPr>
          <w:rFonts w:ascii="宋体" w:hAnsi="宋体" w:cs="宋体" w:eastAsia="宋体"/>
          <w:b/>
          <w:sz w:val="20"/>
        </w:rPr>
        <w:t>7</w:t>
      </w:r>
      <w:r>
        <w:rPr>
          <w:rFonts w:ascii="宋体" w:hAnsi="宋体" w:cs="宋体" w:eastAsia="宋体"/>
          <w:b/>
          <w:sz w:val="20"/>
        </w:rPr>
        <w:t>）</w:t>
      </w:r>
      <w:r>
        <w:rPr>
          <w:rFonts w:ascii="宋体" w:hAnsi="宋体" w:cs="宋体" w:eastAsia="宋体"/>
          <w:b/>
          <w:sz w:val="20"/>
        </w:rPr>
        <w:t>△</w:t>
      </w:r>
      <w:r>
        <w:rPr>
          <w:rFonts w:ascii="宋体" w:hAnsi="宋体" w:cs="宋体" w:eastAsia="宋体"/>
          <w:b/>
          <w:sz w:val="20"/>
        </w:rPr>
        <w:t>（</w:t>
      </w:r>
      <w:r>
        <w:rPr>
          <w:rFonts w:ascii="宋体" w:hAnsi="宋体" w:cs="宋体" w:eastAsia="宋体"/>
          <w:b/>
          <w:sz w:val="20"/>
        </w:rPr>
        <w:t>4）语音包服务</w:t>
      </w:r>
    </w:p>
    <w:p>
      <w:pPr>
        <w:pStyle w:val="null3"/>
      </w:pPr>
      <w:r>
        <w:rPr>
          <w:rFonts w:ascii="宋体" w:hAnsi="宋体" w:cs="宋体" w:eastAsia="宋体"/>
          <w:sz w:val="20"/>
        </w:rPr>
        <w:t>需要为网站涉及语音交互的功能，提供高度拟人、流畅自然的普通话语音服务，能够根据当前获取页面焦点或朗读按钮，读取页面内容，将其在线合成语音播放字。支持语音识别调用</w:t>
      </w:r>
      <w:r>
        <w:rPr>
          <w:rFonts w:ascii="宋体" w:hAnsi="宋体" w:cs="宋体" w:eastAsia="宋体"/>
          <w:sz w:val="20"/>
        </w:rPr>
        <w:t xml:space="preserve"> 150 万次/年，共提供 1 年语音服务。</w:t>
      </w:r>
    </w:p>
    <w:p>
      <w:pPr>
        <w:pStyle w:val="null3"/>
        <w:jc w:val="left"/>
        <w:outlineLvl w:val="1"/>
      </w:pPr>
      <w:r>
        <w:rPr>
          <w:rFonts w:ascii="宋体" w:hAnsi="宋体" w:cs="宋体" w:eastAsia="宋体"/>
          <w:b/>
          <w:sz w:val="20"/>
        </w:rPr>
        <w:t>(</w:t>
      </w:r>
      <w:r>
        <w:rPr>
          <w:rFonts w:ascii="宋体" w:hAnsi="宋体" w:cs="宋体" w:eastAsia="宋体"/>
          <w:b/>
          <w:sz w:val="20"/>
        </w:rPr>
        <w:t>评审指标</w:t>
      </w:r>
      <w:r>
        <w:rPr>
          <w:rFonts w:ascii="宋体" w:hAnsi="宋体" w:cs="宋体" w:eastAsia="宋体"/>
          <w:b/>
          <w:sz w:val="20"/>
        </w:rPr>
        <w:t>8</w:t>
      </w:r>
      <w:r>
        <w:rPr>
          <w:rFonts w:ascii="宋体" w:hAnsi="宋体" w:cs="宋体" w:eastAsia="宋体"/>
          <w:b/>
          <w:sz w:val="20"/>
        </w:rPr>
        <w:t>）</w:t>
      </w:r>
      <w:r>
        <w:rPr>
          <w:rFonts w:ascii="宋体" w:hAnsi="宋体" w:cs="宋体" w:eastAsia="宋体"/>
          <w:b/>
          <w:sz w:val="20"/>
        </w:rPr>
        <w:t>△</w:t>
      </w:r>
      <w:r>
        <w:rPr>
          <w:rFonts w:ascii="宋体" w:hAnsi="宋体" w:cs="宋体" w:eastAsia="宋体"/>
          <w:b/>
          <w:sz w:val="20"/>
        </w:rPr>
        <w:t>2、网站重点信息可视化服务</w:t>
      </w:r>
    </w:p>
    <w:p>
      <w:pPr>
        <w:pStyle w:val="null3"/>
        <w:ind w:firstLine="480"/>
        <w:jc w:val="both"/>
      </w:pPr>
      <w:r>
        <w:rPr>
          <w:rFonts w:ascii="宋体" w:hAnsi="宋体" w:cs="宋体" w:eastAsia="宋体"/>
          <w:sz w:val="20"/>
        </w:rPr>
        <w:t>需根据政策解读文字稿，进行可视化的设计，形成通俗易懂、形式多样、易于传播的政策图解。按照主题对网站的统计数据进行科学合理分类，通过图表可视化方式进行展现。</w:t>
      </w:r>
      <w:r>
        <w:rPr>
          <w:rFonts w:ascii="宋体" w:hAnsi="宋体" w:cs="宋体" w:eastAsia="宋体"/>
          <w:color w:val="000000"/>
          <w:sz w:val="20"/>
        </w:rPr>
        <w:t>1年服务期内提供30篇图解。</w:t>
      </w:r>
    </w:p>
    <w:p>
      <w:pPr>
        <w:pStyle w:val="null3"/>
        <w:jc w:val="left"/>
        <w:outlineLvl w:val="1"/>
      </w:pPr>
      <w:r>
        <w:rPr>
          <w:rFonts w:ascii="宋体" w:hAnsi="宋体" w:cs="宋体" w:eastAsia="宋体"/>
          <w:b/>
          <w:sz w:val="20"/>
        </w:rPr>
        <w:t>(</w:t>
      </w:r>
      <w:r>
        <w:rPr>
          <w:rFonts w:ascii="宋体" w:hAnsi="宋体" w:cs="宋体" w:eastAsia="宋体"/>
          <w:b/>
          <w:sz w:val="20"/>
        </w:rPr>
        <w:t>评审指标</w:t>
      </w:r>
      <w:r>
        <w:rPr>
          <w:rFonts w:ascii="宋体" w:hAnsi="宋体" w:cs="宋体" w:eastAsia="宋体"/>
          <w:b/>
          <w:sz w:val="20"/>
        </w:rPr>
        <w:t>9</w:t>
      </w:r>
      <w:r>
        <w:rPr>
          <w:rFonts w:ascii="宋体" w:hAnsi="宋体" w:cs="宋体" w:eastAsia="宋体"/>
          <w:b/>
          <w:sz w:val="20"/>
        </w:rPr>
        <w:t>）</w:t>
      </w:r>
      <w:r>
        <w:rPr>
          <w:rFonts w:ascii="宋体" w:hAnsi="宋体" w:cs="宋体" w:eastAsia="宋体"/>
          <w:b/>
          <w:sz w:val="20"/>
        </w:rPr>
        <w:t>△</w:t>
      </w:r>
      <w:r>
        <w:rPr>
          <w:rFonts w:ascii="宋体" w:hAnsi="宋体" w:cs="宋体" w:eastAsia="宋体"/>
          <w:b/>
          <w:sz w:val="20"/>
        </w:rPr>
        <w:t>3、网站内容保障服务</w:t>
      </w:r>
    </w:p>
    <w:p>
      <w:pPr>
        <w:pStyle w:val="null3"/>
        <w:ind w:firstLine="480"/>
        <w:jc w:val="both"/>
      </w:pPr>
      <w:r>
        <w:rPr>
          <w:rFonts w:ascii="宋体" w:hAnsi="宋体" w:cs="宋体" w:eastAsia="宋体"/>
          <w:sz w:val="20"/>
        </w:rPr>
        <w:t>结合</w:t>
      </w:r>
      <w:r>
        <w:rPr>
          <w:rFonts w:ascii="宋体" w:hAnsi="宋体" w:cs="宋体" w:eastAsia="宋体"/>
          <w:sz w:val="20"/>
        </w:rPr>
        <w:t>网站</w:t>
      </w:r>
      <w:r>
        <w:rPr>
          <w:rFonts w:ascii="宋体" w:hAnsi="宋体" w:cs="宋体" w:eastAsia="宋体"/>
          <w:sz w:val="20"/>
        </w:rPr>
        <w:t>情况</w:t>
      </w:r>
      <w:r>
        <w:rPr>
          <w:rFonts w:ascii="宋体" w:hAnsi="宋体" w:cs="宋体" w:eastAsia="宋体"/>
          <w:sz w:val="20"/>
        </w:rPr>
        <w:t>进行人工浏览、分析，</w:t>
      </w:r>
      <w:r>
        <w:rPr>
          <w:rFonts w:ascii="宋体" w:hAnsi="宋体" w:cs="宋体" w:eastAsia="宋体"/>
          <w:sz w:val="20"/>
        </w:rPr>
        <w:t>对</w:t>
      </w:r>
      <w:r>
        <w:rPr>
          <w:rFonts w:ascii="宋体" w:hAnsi="宋体" w:cs="宋体" w:eastAsia="宋体"/>
          <w:sz w:val="20"/>
        </w:rPr>
        <w:t>网站内容保障情况提出针对性建议，编辑内容保障建议报告，</w:t>
      </w:r>
      <w:r>
        <w:rPr>
          <w:rFonts w:ascii="宋体" w:hAnsi="宋体" w:cs="宋体" w:eastAsia="宋体"/>
          <w:color w:val="000000"/>
          <w:sz w:val="20"/>
        </w:rPr>
        <w:t>包含考核指标的解析、网站内容更新情况和兄弟单位横向比较情况等，每两个月提供</w:t>
      </w:r>
      <w:r>
        <w:rPr>
          <w:rFonts w:ascii="宋体" w:hAnsi="宋体" w:cs="宋体" w:eastAsia="宋体"/>
          <w:color w:val="000000"/>
          <w:sz w:val="20"/>
        </w:rPr>
        <w:t>1期网站内容保障建议服务报告，1年服务期内共提供6期报告。</w:t>
      </w:r>
    </w:p>
    <w:p>
      <w:pPr>
        <w:pStyle w:val="null3"/>
        <w:jc w:val="left"/>
        <w:outlineLvl w:val="1"/>
      </w:pPr>
      <w:r>
        <w:rPr>
          <w:rFonts w:ascii="宋体" w:hAnsi="宋体" w:cs="宋体" w:eastAsia="宋体"/>
          <w:b/>
          <w:sz w:val="20"/>
        </w:rPr>
        <w:t>(</w:t>
      </w:r>
      <w:r>
        <w:rPr>
          <w:rFonts w:ascii="宋体" w:hAnsi="宋体" w:cs="宋体" w:eastAsia="宋体"/>
          <w:b/>
          <w:sz w:val="20"/>
        </w:rPr>
        <w:t>评审指标</w:t>
      </w:r>
      <w:r>
        <w:rPr>
          <w:rFonts w:ascii="宋体" w:hAnsi="宋体" w:cs="宋体" w:eastAsia="宋体"/>
          <w:b/>
          <w:sz w:val="20"/>
        </w:rPr>
        <w:t>10</w:t>
      </w:r>
      <w:r>
        <w:rPr>
          <w:rFonts w:ascii="宋体" w:hAnsi="宋体" w:cs="宋体" w:eastAsia="宋体"/>
          <w:b/>
          <w:sz w:val="20"/>
        </w:rPr>
        <w:t>）</w:t>
      </w:r>
      <w:r>
        <w:rPr>
          <w:rFonts w:ascii="宋体" w:hAnsi="宋体" w:cs="宋体" w:eastAsia="宋体"/>
          <w:b/>
          <w:sz w:val="20"/>
        </w:rPr>
        <w:t>△</w:t>
      </w:r>
      <w:r>
        <w:rPr>
          <w:rFonts w:ascii="宋体" w:hAnsi="宋体" w:cs="宋体" w:eastAsia="宋体"/>
          <w:b/>
          <w:sz w:val="20"/>
        </w:rPr>
        <w:t>4、网站错链接、死链接检查服务</w:t>
      </w:r>
    </w:p>
    <w:p>
      <w:pPr>
        <w:pStyle w:val="null3"/>
        <w:ind w:firstLine="480"/>
        <w:jc w:val="both"/>
      </w:pPr>
      <w:r>
        <w:rPr>
          <w:rFonts w:ascii="宋体" w:hAnsi="宋体" w:cs="宋体" w:eastAsia="宋体"/>
          <w:sz w:val="20"/>
        </w:rPr>
        <w:t>定期对网站进行全站级的扫描监测，准确定位网站上的错误文字链接、无效附件、图片缺失、非法、反动、色情、广告等链接等情况，并将该错误高亮显示。并配合用户对报告中的错链、死链进行核对、修改。每月提供</w:t>
      </w:r>
      <w:r>
        <w:rPr>
          <w:rFonts w:ascii="宋体" w:hAnsi="宋体" w:cs="宋体" w:eastAsia="宋体"/>
          <w:sz w:val="20"/>
        </w:rPr>
        <w:t>1期报告，共</w:t>
      </w:r>
      <w:r>
        <w:rPr>
          <w:rFonts w:ascii="宋体" w:hAnsi="宋体" w:cs="宋体" w:eastAsia="宋体"/>
          <w:sz w:val="20"/>
        </w:rPr>
        <w:t>提供</w:t>
      </w:r>
      <w:r>
        <w:rPr>
          <w:rFonts w:ascii="宋体" w:hAnsi="宋体" w:cs="宋体" w:eastAsia="宋体"/>
          <w:sz w:val="20"/>
        </w:rPr>
        <w:t>12期。</w:t>
      </w:r>
    </w:p>
    <w:p>
      <w:pPr>
        <w:pStyle w:val="null3"/>
        <w:jc w:val="left"/>
        <w:outlineLvl w:val="1"/>
      </w:pPr>
      <w:r>
        <w:rPr>
          <w:rFonts w:ascii="宋体" w:hAnsi="宋体" w:cs="宋体" w:eastAsia="宋体"/>
          <w:b/>
          <w:sz w:val="20"/>
        </w:rPr>
        <w:t>(</w:t>
      </w:r>
      <w:r>
        <w:rPr>
          <w:rFonts w:ascii="宋体" w:hAnsi="宋体" w:cs="宋体" w:eastAsia="宋体"/>
          <w:b/>
          <w:sz w:val="20"/>
        </w:rPr>
        <w:t>评审指标</w:t>
      </w:r>
      <w:r>
        <w:rPr>
          <w:rFonts w:ascii="宋体" w:hAnsi="宋体" w:cs="宋体" w:eastAsia="宋体"/>
          <w:b/>
          <w:sz w:val="20"/>
        </w:rPr>
        <w:t>11</w:t>
      </w:r>
      <w:r>
        <w:rPr>
          <w:rFonts w:ascii="宋体" w:hAnsi="宋体" w:cs="宋体" w:eastAsia="宋体"/>
          <w:b/>
          <w:sz w:val="20"/>
        </w:rPr>
        <w:t>）</w:t>
      </w:r>
      <w:r>
        <w:rPr>
          <w:rFonts w:ascii="宋体" w:hAnsi="宋体" w:cs="宋体" w:eastAsia="宋体"/>
          <w:b/>
          <w:sz w:val="20"/>
        </w:rPr>
        <w:t>△</w:t>
      </w:r>
      <w:r>
        <w:rPr>
          <w:rFonts w:ascii="宋体" w:hAnsi="宋体" w:cs="宋体" w:eastAsia="宋体"/>
          <w:b/>
          <w:sz w:val="20"/>
        </w:rPr>
        <w:t>5、网站错别字监测服务（发布后）</w:t>
      </w:r>
    </w:p>
    <w:p>
      <w:pPr>
        <w:pStyle w:val="null3"/>
        <w:ind w:firstLine="480"/>
        <w:jc w:val="both"/>
      </w:pPr>
      <w:r>
        <w:rPr>
          <w:rFonts w:ascii="宋体" w:hAnsi="宋体" w:cs="宋体" w:eastAsia="宋体"/>
          <w:sz w:val="20"/>
        </w:rPr>
        <w:t>采用汉语切分技术、汉语语法分析技术、汉语依存关系分析技术等对网站内容进行检测，并结合《现代汉语词典》、《辞海》、《现代汉语规范词典》、《中国成语大辞典》等词典，对网站发布的各级页面进行错别字检测，检测范围需包括形近字、音近字类错别字、不规范写法、新闻禁用语等。发现错别字及时发送检测结果，每月提供</w:t>
      </w:r>
      <w:r>
        <w:rPr>
          <w:rFonts w:ascii="宋体" w:hAnsi="宋体" w:cs="宋体" w:eastAsia="宋体"/>
          <w:sz w:val="20"/>
        </w:rPr>
        <w:t>1期报告，最终形成12期检测结果报告。</w:t>
      </w:r>
    </w:p>
    <w:p>
      <w:pPr>
        <w:pStyle w:val="null3"/>
        <w:jc w:val="left"/>
        <w:outlineLvl w:val="1"/>
      </w:pPr>
      <w:r>
        <w:rPr>
          <w:rFonts w:ascii="宋体" w:hAnsi="宋体" w:cs="宋体" w:eastAsia="宋体"/>
          <w:b/>
          <w:sz w:val="20"/>
        </w:rPr>
        <w:t>(</w:t>
      </w:r>
      <w:r>
        <w:rPr>
          <w:rFonts w:ascii="宋体" w:hAnsi="宋体" w:cs="宋体" w:eastAsia="宋体"/>
          <w:b/>
          <w:sz w:val="20"/>
        </w:rPr>
        <w:t>评审指标</w:t>
      </w:r>
      <w:r>
        <w:rPr>
          <w:rFonts w:ascii="宋体" w:hAnsi="宋体" w:cs="宋体" w:eastAsia="宋体"/>
          <w:b/>
          <w:sz w:val="20"/>
        </w:rPr>
        <w:t>12）</w:t>
      </w:r>
      <w:r>
        <w:rPr>
          <w:rFonts w:ascii="宋体" w:hAnsi="宋体" w:cs="宋体" w:eastAsia="宋体"/>
          <w:b/>
          <w:sz w:val="20"/>
        </w:rPr>
        <w:t>△</w:t>
      </w:r>
      <w:r>
        <w:rPr>
          <w:rFonts w:ascii="宋体" w:hAnsi="宋体" w:cs="宋体" w:eastAsia="宋体"/>
          <w:b/>
          <w:sz w:val="20"/>
        </w:rPr>
        <w:t>6、网站意识形态监测服务</w:t>
      </w:r>
    </w:p>
    <w:p>
      <w:pPr>
        <w:pStyle w:val="null3"/>
        <w:ind w:firstLine="480"/>
        <w:jc w:val="both"/>
      </w:pPr>
      <w:r>
        <w:rPr>
          <w:rFonts w:ascii="宋体" w:hAnsi="宋体" w:cs="宋体" w:eastAsia="宋体"/>
          <w:sz w:val="20"/>
        </w:rPr>
        <w:t>采用技术平台与人工相结合的方式，重点对网站严重表述不规范内容进行监测，监测内容包括重要领导人的名字书写错误、职务错误、重要讲话表述不规范，媒体报道中的禁用词、慎用词和规范用语，涉及民族宗教、港澳台和领土主权、国际关系等敏感信息的不规范用语，监测范围包括网站发布信息标题、正文、来源，监测结果包含表述错误情况、建议修改、链接等。发现表述不规范及时发送检测结果，每月提供</w:t>
      </w:r>
      <w:r>
        <w:rPr>
          <w:rFonts w:ascii="宋体" w:hAnsi="宋体" w:cs="宋体" w:eastAsia="宋体"/>
          <w:sz w:val="20"/>
        </w:rPr>
        <w:t>1期报告，最终形成12期检测结果报告。</w:t>
      </w:r>
    </w:p>
    <w:p>
      <w:pPr>
        <w:pStyle w:val="null3"/>
        <w:jc w:val="left"/>
        <w:outlineLvl w:val="1"/>
      </w:pPr>
      <w:r>
        <w:rPr>
          <w:rFonts w:ascii="宋体" w:hAnsi="宋体" w:cs="宋体" w:eastAsia="宋体"/>
          <w:b/>
          <w:sz w:val="20"/>
        </w:rPr>
        <w:t>7、网站个性化维护服务</w:t>
      </w:r>
    </w:p>
    <w:p>
      <w:pPr>
        <w:pStyle w:val="null3"/>
        <w:ind w:firstLine="480"/>
        <w:jc w:val="both"/>
      </w:pPr>
      <w:r>
        <w:rPr>
          <w:rFonts w:ascii="宋体" w:hAnsi="宋体" w:cs="宋体" w:eastAsia="宋体"/>
          <w:b/>
          <w:sz w:val="20"/>
        </w:rPr>
        <w:t>(</w:t>
      </w:r>
      <w:r>
        <w:rPr>
          <w:rFonts w:ascii="宋体" w:hAnsi="宋体" w:cs="宋体" w:eastAsia="宋体"/>
          <w:b/>
          <w:sz w:val="20"/>
        </w:rPr>
        <w:t>评审指标</w:t>
      </w:r>
      <w:r>
        <w:rPr>
          <w:rFonts w:ascii="宋体" w:hAnsi="宋体" w:cs="宋体" w:eastAsia="宋体"/>
          <w:b/>
          <w:sz w:val="20"/>
        </w:rPr>
        <w:t>13）</w:t>
      </w:r>
      <w:r>
        <w:rPr>
          <w:rFonts w:ascii="宋体" w:hAnsi="宋体" w:cs="宋体" w:eastAsia="宋体"/>
          <w:color w:val="000000"/>
          <w:sz w:val="20"/>
        </w:rPr>
        <w:t>△</w:t>
      </w:r>
      <w:r>
        <w:rPr>
          <w:rFonts w:ascii="宋体" w:hAnsi="宋体" w:cs="宋体" w:eastAsia="宋体"/>
          <w:sz w:val="20"/>
        </w:rPr>
        <w:t>基于福建省级政府网站统一技术平台，为厅网站提供</w:t>
      </w:r>
      <w:r>
        <w:rPr>
          <w:rFonts w:ascii="宋体" w:hAnsi="宋体" w:cs="宋体" w:eastAsia="宋体"/>
          <w:sz w:val="20"/>
        </w:rPr>
        <w:t>1年的网站日常维护和个性化需求调整服务，主要包含网站页面重新设计调整、内容服务、专题制作和定制开发等。提供7×24的电话支持和5×8的在线支持，故障诊断、功能和漏洞修复，并根据故障严重程度提供限时解决故障的现场服务，确保网站的正常运行和使用，具体内容如下表：</w:t>
      </w:r>
    </w:p>
    <w:tbl>
      <w:tblPr>
        <w:tblW w:w="0" w:type="auto"/>
        <w:tblBorders>
          <w:top w:val="none" w:color="000000" w:sz="4"/>
          <w:left w:val="none" w:color="000000" w:sz="4"/>
          <w:bottom w:val="none" w:color="000000" w:sz="4"/>
          <w:right w:val="none" w:color="000000" w:sz="4"/>
          <w:insideH w:val="none"/>
          <w:insideV w:val="none"/>
        </w:tblBorders>
      </w:tblPr>
      <w:tblGrid>
        <w:gridCol w:w="707"/>
        <w:gridCol w:w="735"/>
        <w:gridCol w:w="1004"/>
        <w:gridCol w:w="4018"/>
        <w:gridCol w:w="933"/>
        <w:gridCol w:w="863"/>
      </w:tblGrid>
      <w:tr>
        <w:tc>
          <w:tcPr>
            <w:tcW w:type="dxa" w:w="70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sz w:val="20"/>
              </w:rPr>
              <w:t>序号</w:t>
            </w:r>
          </w:p>
        </w:tc>
        <w:tc>
          <w:tcPr>
            <w:tcW w:type="dxa" w:w="73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sz w:val="20"/>
              </w:rPr>
              <w:t>项目</w:t>
            </w:r>
          </w:p>
        </w:tc>
        <w:tc>
          <w:tcPr>
            <w:tcW w:type="dxa" w:w="100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sz w:val="20"/>
              </w:rPr>
              <w:t>子项目</w:t>
            </w:r>
          </w:p>
        </w:tc>
        <w:tc>
          <w:tcPr>
            <w:tcW w:type="dxa" w:w="401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sz w:val="20"/>
              </w:rPr>
              <w:t>说明</w:t>
            </w:r>
          </w:p>
        </w:tc>
        <w:tc>
          <w:tcPr>
            <w:tcW w:type="dxa" w:w="93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sz w:val="20"/>
              </w:rPr>
              <w:t>基础包</w:t>
            </w:r>
          </w:p>
        </w:tc>
        <w:tc>
          <w:tcPr>
            <w:tcW w:type="dxa" w:w="86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宋体" w:hAnsi="宋体" w:cs="宋体" w:eastAsia="宋体"/>
                <w:b/>
                <w:sz w:val="20"/>
              </w:rPr>
              <w:t>时限</w:t>
            </w:r>
          </w:p>
        </w:tc>
      </w:tr>
      <w:tr>
        <w:tc>
          <w:tcPr>
            <w:tcW w:type="dxa" w:w="7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界面调整</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网站首页、一级页面中的局部模块设计调整</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0"/>
              </w:rPr>
              <w:t>(</w:t>
            </w:r>
            <w:r>
              <w:rPr>
                <w:rFonts w:ascii="宋体" w:hAnsi="宋体" w:cs="宋体" w:eastAsia="宋体"/>
                <w:b/>
                <w:sz w:val="20"/>
              </w:rPr>
              <w:t>评审指标14）</w:t>
            </w:r>
            <w:r>
              <w:rPr>
                <w:rFonts w:ascii="宋体" w:hAnsi="宋体" w:cs="宋体" w:eastAsia="宋体"/>
                <w:b/>
                <w:sz w:val="20"/>
              </w:rPr>
              <w:t>▲</w:t>
            </w:r>
            <w:r>
              <w:rPr>
                <w:rFonts w:ascii="宋体" w:hAnsi="宋体" w:cs="宋体" w:eastAsia="宋体"/>
                <w:sz w:val="20"/>
              </w:rPr>
              <w:t>不改变网站页面整体风格和布局的情况下，对网站首页、一级页面中局部内容进行设计调整（如首页页面中信息公开、网上办事和互动交流展示模块的展示设计调整）</w:t>
            </w:r>
            <w:r>
              <w:rPr>
                <w:rFonts w:ascii="宋体" w:hAnsi="宋体" w:cs="宋体" w:eastAsia="宋体"/>
                <w:b/>
                <w:sz w:val="20"/>
              </w:rPr>
              <w:t>（提供统一平台内容管理系统与模板管理功能截图）</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不超过2次</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3个</w:t>
            </w:r>
          </w:p>
          <w:p>
            <w:pPr>
              <w:pStyle w:val="null3"/>
              <w:jc w:val="both"/>
            </w:pPr>
            <w:r>
              <w:rPr>
                <w:rFonts w:ascii="宋体" w:hAnsi="宋体" w:cs="宋体" w:eastAsia="宋体"/>
                <w:sz w:val="20"/>
              </w:rPr>
              <w:t>工作日</w:t>
            </w:r>
          </w:p>
        </w:tc>
      </w:tr>
      <w:tr>
        <w:tc>
          <w:tcPr>
            <w:tcW w:type="dxa" w:w="707"/>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广告制作（通知、声明等）</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评审指标15）</w:t>
            </w:r>
            <w:r>
              <w:rPr>
                <w:rFonts w:ascii="宋体" w:hAnsi="宋体" w:cs="宋体" w:eastAsia="宋体"/>
                <w:color w:val="000000"/>
                <w:sz w:val="20"/>
              </w:rPr>
              <w:t>△</w:t>
            </w:r>
            <w:r>
              <w:rPr>
                <w:rFonts w:ascii="宋体" w:hAnsi="宋体" w:cs="宋体" w:eastAsia="宋体"/>
                <w:sz w:val="20"/>
              </w:rPr>
              <w:t>网站横幅/背景图/飘窗/对联效果/头部flash /按钮/图标制作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不超过15个</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3个</w:t>
            </w:r>
          </w:p>
          <w:p>
            <w:pPr>
              <w:pStyle w:val="null3"/>
              <w:jc w:val="both"/>
            </w:pPr>
            <w:r>
              <w:rPr>
                <w:rFonts w:ascii="宋体" w:hAnsi="宋体" w:cs="宋体" w:eastAsia="宋体"/>
                <w:sz w:val="20"/>
              </w:rPr>
              <w:t>工作日</w:t>
            </w:r>
          </w:p>
        </w:tc>
      </w:tr>
      <w:tr>
        <w:tc>
          <w:tcPr>
            <w:tcW w:type="dxa" w:w="707"/>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网站前端功能界面调整</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评审指标16）</w:t>
            </w:r>
            <w:r>
              <w:rPr>
                <w:rFonts w:ascii="宋体" w:hAnsi="宋体" w:cs="宋体" w:eastAsia="宋体"/>
                <w:color w:val="000000"/>
                <w:sz w:val="20"/>
              </w:rPr>
              <w:t>△</w:t>
            </w:r>
            <w:r>
              <w:rPr>
                <w:rFonts w:ascii="宋体" w:hAnsi="宋体" w:cs="宋体" w:eastAsia="宋体"/>
                <w:sz w:val="20"/>
              </w:rPr>
              <w:t>如信箱提交类的功能调整、查询类功能的字段调整、问卷调查的功能调整、在线访谈的功能调整、网站检索的功能调整</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不超过20次</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3个</w:t>
            </w:r>
          </w:p>
          <w:p>
            <w:pPr>
              <w:pStyle w:val="null3"/>
              <w:jc w:val="both"/>
            </w:pPr>
            <w:r>
              <w:rPr>
                <w:rFonts w:ascii="宋体" w:hAnsi="宋体" w:cs="宋体" w:eastAsia="宋体"/>
                <w:sz w:val="20"/>
              </w:rPr>
              <w:t>工作日</w:t>
            </w:r>
          </w:p>
        </w:tc>
      </w:tr>
      <w:tr>
        <w:tc>
          <w:tcPr>
            <w:tcW w:type="dxa" w:w="7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内容维护</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栏目、文档的批量调整、处理</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评审指标17）</w:t>
            </w:r>
            <w:r>
              <w:rPr>
                <w:rFonts w:ascii="宋体" w:hAnsi="宋体" w:cs="宋体" w:eastAsia="宋体"/>
                <w:b/>
                <w:sz w:val="20"/>
              </w:rPr>
              <w:t>▲</w:t>
            </w:r>
            <w:r>
              <w:rPr>
                <w:rFonts w:ascii="宋体" w:hAnsi="宋体" w:cs="宋体" w:eastAsia="宋体"/>
                <w:sz w:val="20"/>
              </w:rPr>
              <w:t>网站前端栏目、文档顺序的批量调整；含指定敏感信息文档批量处理；WORD文档的批量导入；页面显示问题的批量处理</w:t>
            </w:r>
            <w:r>
              <w:rPr>
                <w:rFonts w:ascii="宋体" w:hAnsi="宋体" w:cs="宋体" w:eastAsia="宋体"/>
                <w:b/>
                <w:sz w:val="20"/>
              </w:rPr>
              <w:t>（提供统一平台内容管理系统与对栏目管理功能截图）</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不超过5次</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3个</w:t>
            </w:r>
          </w:p>
          <w:p>
            <w:pPr>
              <w:pStyle w:val="null3"/>
              <w:jc w:val="both"/>
            </w:pPr>
            <w:r>
              <w:rPr>
                <w:rFonts w:ascii="宋体" w:hAnsi="宋体" w:cs="宋体" w:eastAsia="宋体"/>
                <w:sz w:val="20"/>
              </w:rPr>
              <w:t>工作日</w:t>
            </w:r>
          </w:p>
        </w:tc>
      </w:tr>
      <w:tr>
        <w:tc>
          <w:tcPr>
            <w:tcW w:type="dxa" w:w="707"/>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协助进行特殊文档的录入和发布</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评审指标18）</w:t>
            </w:r>
            <w:r>
              <w:rPr>
                <w:rFonts w:ascii="宋体" w:hAnsi="宋体" w:cs="宋体" w:eastAsia="宋体"/>
                <w:b/>
                <w:sz w:val="20"/>
              </w:rPr>
              <w:t>▲</w:t>
            </w:r>
            <w:r>
              <w:rPr>
                <w:rFonts w:ascii="宋体" w:hAnsi="宋体" w:cs="宋体" w:eastAsia="宋体"/>
                <w:sz w:val="20"/>
              </w:rPr>
              <w:t>协助对格式复杂的文档编辑发布和特大附件上传</w:t>
            </w:r>
            <w:r>
              <w:rPr>
                <w:rFonts w:ascii="宋体" w:hAnsi="宋体" w:cs="宋体" w:eastAsia="宋体"/>
                <w:b/>
                <w:sz w:val="20"/>
              </w:rPr>
              <w:t>（提供统一平台内容管理系统与对文档管理功能截图）</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不超过5篇</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1个</w:t>
            </w:r>
          </w:p>
          <w:p>
            <w:pPr>
              <w:pStyle w:val="null3"/>
              <w:jc w:val="both"/>
            </w:pPr>
            <w:r>
              <w:rPr>
                <w:rFonts w:ascii="宋体" w:hAnsi="宋体" w:cs="宋体" w:eastAsia="宋体"/>
                <w:sz w:val="20"/>
              </w:rPr>
              <w:t>工作日</w:t>
            </w:r>
          </w:p>
        </w:tc>
      </w:tr>
      <w:tr>
        <w:tc>
          <w:tcPr>
            <w:tcW w:type="dxa" w:w="707"/>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音视频处理</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评审指标19）</w:t>
            </w:r>
            <w:r>
              <w:rPr>
                <w:rFonts w:ascii="宋体" w:hAnsi="宋体" w:cs="宋体" w:eastAsia="宋体"/>
                <w:color w:val="000000"/>
                <w:sz w:val="20"/>
              </w:rPr>
              <w:t>△</w:t>
            </w:r>
            <w:r>
              <w:rPr>
                <w:rFonts w:ascii="宋体" w:hAnsi="宋体" w:cs="宋体" w:eastAsia="宋体"/>
                <w:sz w:val="20"/>
              </w:rPr>
              <w:t>音视频文件的转码和上传</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不超过5个</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1个</w:t>
            </w:r>
          </w:p>
          <w:p>
            <w:pPr>
              <w:pStyle w:val="null3"/>
              <w:jc w:val="both"/>
            </w:pPr>
            <w:r>
              <w:rPr>
                <w:rFonts w:ascii="宋体" w:hAnsi="宋体" w:cs="宋体" w:eastAsia="宋体"/>
                <w:sz w:val="20"/>
              </w:rPr>
              <w:t>工作日</w:t>
            </w:r>
          </w:p>
        </w:tc>
      </w:tr>
      <w:tr>
        <w:tc>
          <w:tcPr>
            <w:tcW w:type="dxa" w:w="707"/>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图片处理</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评审指标20）</w:t>
            </w:r>
            <w:r>
              <w:rPr>
                <w:rFonts w:ascii="宋体" w:hAnsi="宋体" w:cs="宋体" w:eastAsia="宋体"/>
                <w:color w:val="000000"/>
                <w:sz w:val="20"/>
              </w:rPr>
              <w:t>△</w:t>
            </w:r>
            <w:r>
              <w:rPr>
                <w:rFonts w:ascii="宋体" w:hAnsi="宋体" w:cs="宋体" w:eastAsia="宋体"/>
                <w:sz w:val="20"/>
              </w:rPr>
              <w:t>根据提供的图片进行美化处理</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不超过30张</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1个</w:t>
            </w:r>
          </w:p>
          <w:p>
            <w:pPr>
              <w:pStyle w:val="null3"/>
              <w:jc w:val="both"/>
            </w:pPr>
            <w:r>
              <w:rPr>
                <w:rFonts w:ascii="宋体" w:hAnsi="宋体" w:cs="宋体" w:eastAsia="宋体"/>
                <w:sz w:val="20"/>
              </w:rPr>
              <w:t>工作日</w:t>
            </w:r>
          </w:p>
        </w:tc>
      </w:tr>
      <w:tr>
        <w:tc>
          <w:tcPr>
            <w:tcW w:type="dxa" w:w="707"/>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信息（内容）抓取</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评审指标21）</w:t>
            </w:r>
            <w:r>
              <w:rPr>
                <w:rFonts w:ascii="宋体" w:hAnsi="宋体" w:cs="宋体" w:eastAsia="宋体"/>
                <w:b/>
                <w:sz w:val="20"/>
              </w:rPr>
              <w:t>▲</w:t>
            </w:r>
            <w:r>
              <w:rPr>
                <w:rFonts w:ascii="宋体" w:hAnsi="宋体" w:cs="宋体" w:eastAsia="宋体"/>
                <w:sz w:val="20"/>
              </w:rPr>
              <w:t>抓取指定的目标网站栏目信息，并导入到网站后台指定栏目</w:t>
            </w:r>
            <w:r>
              <w:rPr>
                <w:rFonts w:ascii="宋体" w:hAnsi="宋体" w:cs="宋体" w:eastAsia="宋体"/>
                <w:b/>
                <w:sz w:val="20"/>
              </w:rPr>
              <w:t>（提供信息抓取功能截图）</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不超过10个</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3个</w:t>
            </w:r>
          </w:p>
          <w:p>
            <w:pPr>
              <w:pStyle w:val="null3"/>
              <w:jc w:val="both"/>
            </w:pPr>
            <w:r>
              <w:rPr>
                <w:rFonts w:ascii="宋体" w:hAnsi="宋体" w:cs="宋体" w:eastAsia="宋体"/>
                <w:sz w:val="20"/>
              </w:rPr>
              <w:t>工作日</w:t>
            </w:r>
          </w:p>
        </w:tc>
      </w:tr>
      <w:tr>
        <w:tc>
          <w:tcPr>
            <w:tcW w:type="dxa" w:w="707"/>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网站错链、死链修改调整</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评审指标22）</w:t>
            </w:r>
            <w:r>
              <w:rPr>
                <w:rFonts w:ascii="宋体" w:hAnsi="宋体" w:cs="宋体" w:eastAsia="宋体"/>
                <w:color w:val="000000"/>
                <w:sz w:val="20"/>
              </w:rPr>
              <w:t>△</w:t>
            </w:r>
            <w:r>
              <w:rPr>
                <w:rFonts w:ascii="宋体" w:hAnsi="宋体" w:cs="宋体" w:eastAsia="宋体"/>
                <w:sz w:val="20"/>
              </w:rPr>
              <w:t>对网站模板中的错链、死链接配合修改调整（不包含信息录入的链接、历史数据中包含的错误链接等）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不限</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3个</w:t>
            </w:r>
          </w:p>
          <w:p>
            <w:pPr>
              <w:pStyle w:val="null3"/>
              <w:jc w:val="both"/>
            </w:pPr>
            <w:r>
              <w:rPr>
                <w:rFonts w:ascii="宋体" w:hAnsi="宋体" w:cs="宋体" w:eastAsia="宋体"/>
                <w:sz w:val="20"/>
              </w:rPr>
              <w:t>工作日</w:t>
            </w:r>
          </w:p>
        </w:tc>
      </w:tr>
      <w:tr>
        <w:tc>
          <w:tcPr>
            <w:tcW w:type="dxa" w:w="707"/>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小型调查、征集活动、在线访谈制作及在线技术支持</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评审指标23）</w:t>
            </w:r>
            <w:r>
              <w:rPr>
                <w:rFonts w:ascii="宋体" w:hAnsi="宋体" w:cs="宋体" w:eastAsia="宋体"/>
                <w:color w:val="000000"/>
                <w:sz w:val="20"/>
              </w:rPr>
              <w:t>△</w:t>
            </w:r>
            <w:r>
              <w:rPr>
                <w:rFonts w:ascii="宋体" w:hAnsi="宋体" w:cs="宋体" w:eastAsia="宋体"/>
                <w:sz w:val="20"/>
              </w:rPr>
              <w:t>普通调查、征集活动、在线访谈制作及技术支持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不超过3期</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3个</w:t>
            </w:r>
          </w:p>
          <w:p>
            <w:pPr>
              <w:pStyle w:val="null3"/>
              <w:jc w:val="both"/>
            </w:pPr>
            <w:r>
              <w:rPr>
                <w:rFonts w:ascii="宋体" w:hAnsi="宋体" w:cs="宋体" w:eastAsia="宋体"/>
                <w:sz w:val="20"/>
              </w:rPr>
              <w:t>工作日</w:t>
            </w:r>
          </w:p>
        </w:tc>
      </w:tr>
      <w:tr>
        <w:tc>
          <w:tcPr>
            <w:tcW w:type="dxa" w:w="7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7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特殊定制开发</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信件模版定制</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评审指标24）</w:t>
            </w:r>
            <w:r>
              <w:rPr>
                <w:rFonts w:ascii="宋体" w:hAnsi="宋体" w:cs="宋体" w:eastAsia="宋体"/>
                <w:color w:val="000000"/>
                <w:sz w:val="20"/>
              </w:rPr>
              <w:t>△</w:t>
            </w:r>
            <w:r>
              <w:rPr>
                <w:rFonts w:ascii="宋体" w:hAnsi="宋体" w:cs="宋体" w:eastAsia="宋体"/>
                <w:sz w:val="20"/>
              </w:rPr>
              <w:t>信件打印模版的定制、信件导出模版的定制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不超过1次</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3个</w:t>
            </w:r>
          </w:p>
          <w:p>
            <w:pPr>
              <w:pStyle w:val="null3"/>
              <w:jc w:val="both"/>
            </w:pPr>
            <w:r>
              <w:rPr>
                <w:rFonts w:ascii="宋体" w:hAnsi="宋体" w:cs="宋体" w:eastAsia="宋体"/>
                <w:sz w:val="20"/>
              </w:rPr>
              <w:t>工作日</w:t>
            </w:r>
          </w:p>
        </w:tc>
      </w:tr>
      <w:tr>
        <w:tc>
          <w:tcPr>
            <w:tcW w:type="dxa" w:w="707"/>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网站信息录入功能个性化定制</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评审指标25）</w:t>
            </w:r>
            <w:r>
              <w:rPr>
                <w:rFonts w:ascii="宋体" w:hAnsi="宋体" w:cs="宋体" w:eastAsia="宋体"/>
                <w:color w:val="000000"/>
                <w:sz w:val="20"/>
              </w:rPr>
              <w:t>△</w:t>
            </w:r>
            <w:r>
              <w:rPr>
                <w:rFonts w:ascii="宋体" w:hAnsi="宋体" w:cs="宋体" w:eastAsia="宋体"/>
                <w:sz w:val="20"/>
              </w:rPr>
              <w:t>根据需求，对后台编辑器的录入功能进行扩展字段的定制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不超过1次</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3个</w:t>
            </w:r>
          </w:p>
          <w:p>
            <w:pPr>
              <w:pStyle w:val="null3"/>
              <w:jc w:val="both"/>
            </w:pPr>
            <w:r>
              <w:rPr>
                <w:rFonts w:ascii="宋体" w:hAnsi="宋体" w:cs="宋体" w:eastAsia="宋体"/>
                <w:sz w:val="20"/>
              </w:rPr>
              <w:t>工作日</w:t>
            </w:r>
          </w:p>
        </w:tc>
      </w:tr>
      <w:tr>
        <w:tc>
          <w:tcPr>
            <w:tcW w:type="dxa" w:w="707"/>
            <w:vMerge/>
            <w:tcBorders>
              <w:top w:val="none" w:color="000000" w:sz="4"/>
              <w:left w:val="single" w:color="000000" w:sz="4"/>
              <w:bottom w:val="single" w:color="000000" w:sz="4"/>
              <w:right w:val="single" w:color="000000" w:sz="4"/>
            </w:tcBorders>
          </w:tcPr>
          <w:p/>
        </w:tc>
        <w:tc>
          <w:tcPr>
            <w:tcW w:type="dxa" w:w="735"/>
            <w:vMerge/>
            <w:tcBorders>
              <w:top w:val="none" w:color="000000" w:sz="4"/>
              <w:left w:val="none" w:color="000000" w:sz="4"/>
              <w:bottom w:val="single" w:color="000000" w:sz="4"/>
              <w:right w:val="single" w:color="000000" w:sz="4"/>
            </w:tcBorders>
          </w:tcP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短信接口的定制</w:t>
            </w: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评审指标26）</w:t>
            </w:r>
            <w:r>
              <w:rPr>
                <w:rFonts w:ascii="宋体" w:hAnsi="宋体" w:cs="宋体" w:eastAsia="宋体"/>
                <w:color w:val="000000"/>
                <w:sz w:val="20"/>
              </w:rPr>
              <w:t>△</w:t>
            </w:r>
            <w:r>
              <w:rPr>
                <w:rFonts w:ascii="宋体" w:hAnsi="宋体" w:cs="宋体" w:eastAsia="宋体"/>
                <w:sz w:val="20"/>
              </w:rPr>
              <w:t>短信接口对接，并配置短信提醒功能</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不超过1次</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3个</w:t>
            </w:r>
          </w:p>
          <w:p>
            <w:pPr>
              <w:pStyle w:val="null3"/>
              <w:jc w:val="both"/>
            </w:pPr>
            <w:r>
              <w:rPr>
                <w:rFonts w:ascii="宋体" w:hAnsi="宋体" w:cs="宋体" w:eastAsia="宋体"/>
                <w:sz w:val="20"/>
              </w:rPr>
              <w:t>工作日</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网站专题制作</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评审指标27）</w:t>
            </w:r>
            <w:r>
              <w:rPr>
                <w:rFonts w:ascii="宋体" w:hAnsi="宋体" w:cs="宋体" w:eastAsia="宋体"/>
                <w:color w:val="000000"/>
                <w:sz w:val="20"/>
              </w:rPr>
              <w:t>△</w:t>
            </w:r>
            <w:r>
              <w:rPr>
                <w:rFonts w:ascii="宋体" w:hAnsi="宋体" w:cs="宋体" w:eastAsia="宋体"/>
                <w:sz w:val="20"/>
              </w:rPr>
              <w:t>网站政务热点专题的制作（专题子栏目10个以内，不涉及业务系统程序开发）</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不超过2个</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7个</w:t>
            </w:r>
          </w:p>
          <w:p>
            <w:pPr>
              <w:pStyle w:val="null3"/>
              <w:jc w:val="both"/>
            </w:pPr>
            <w:r>
              <w:rPr>
                <w:rFonts w:ascii="宋体" w:hAnsi="宋体" w:cs="宋体" w:eastAsia="宋体"/>
                <w:sz w:val="20"/>
              </w:rPr>
              <w:t>工作日</w:t>
            </w: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培训</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评审指标28）</w:t>
            </w:r>
            <w:r>
              <w:rPr>
                <w:rFonts w:ascii="宋体" w:hAnsi="宋体" w:cs="宋体" w:eastAsia="宋体"/>
                <w:color w:val="000000"/>
                <w:sz w:val="20"/>
              </w:rPr>
              <w:t>△</w:t>
            </w:r>
            <w:r>
              <w:rPr>
                <w:rFonts w:ascii="宋体" w:hAnsi="宋体" w:cs="宋体" w:eastAsia="宋体"/>
                <w:sz w:val="20"/>
              </w:rPr>
              <w:t>省直部门自行组织的网站操作培训（培训时间为半天）</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不超过1次</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技术支持</w:t>
            </w:r>
          </w:p>
        </w:tc>
        <w:tc>
          <w:tcPr>
            <w:tcW w:type="dxa" w:w="10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0"/>
              </w:rPr>
              <w:t>(</w:t>
            </w:r>
            <w:r>
              <w:rPr>
                <w:rFonts w:ascii="宋体" w:hAnsi="宋体" w:cs="宋体" w:eastAsia="宋体"/>
                <w:b/>
                <w:sz w:val="20"/>
              </w:rPr>
              <w:t>评审指标29）</w:t>
            </w:r>
            <w:r>
              <w:rPr>
                <w:rFonts w:ascii="宋体" w:hAnsi="宋体" w:cs="宋体" w:eastAsia="宋体"/>
                <w:color w:val="000000"/>
                <w:sz w:val="20"/>
              </w:rPr>
              <w:t>△</w:t>
            </w:r>
            <w:r>
              <w:rPr>
                <w:rFonts w:ascii="宋体" w:hAnsi="宋体" w:cs="宋体" w:eastAsia="宋体"/>
                <w:sz w:val="20"/>
              </w:rPr>
              <w:t>现场技术支持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不超过3次</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outlineLvl w:val="1"/>
      </w:pPr>
      <w:r>
        <w:rPr>
          <w:rFonts w:ascii="宋体" w:hAnsi="宋体" w:cs="宋体" w:eastAsia="宋体"/>
          <w:b/>
          <w:sz w:val="20"/>
        </w:rPr>
        <w:t>(</w:t>
      </w:r>
      <w:r>
        <w:rPr>
          <w:rFonts w:ascii="宋体" w:hAnsi="宋体" w:cs="宋体" w:eastAsia="宋体"/>
          <w:b/>
          <w:sz w:val="20"/>
        </w:rPr>
        <w:t>评审指标</w:t>
      </w:r>
      <w:r>
        <w:rPr>
          <w:rFonts w:ascii="宋体" w:hAnsi="宋体" w:cs="宋体" w:eastAsia="宋体"/>
          <w:b/>
          <w:sz w:val="20"/>
        </w:rPr>
        <w:t>30）</w:t>
      </w:r>
      <w:r>
        <w:rPr>
          <w:rFonts w:ascii="宋体" w:hAnsi="宋体" w:cs="宋体" w:eastAsia="宋体"/>
          <w:b/>
          <w:sz w:val="20"/>
        </w:rPr>
        <w:t>△</w:t>
      </w:r>
      <w:r>
        <w:rPr>
          <w:rFonts w:ascii="宋体" w:hAnsi="宋体" w:cs="宋体" w:eastAsia="宋体"/>
          <w:b/>
          <w:sz w:val="20"/>
        </w:rPr>
        <w:t>8、人员驻点服务</w:t>
      </w:r>
    </w:p>
    <w:p>
      <w:pPr>
        <w:pStyle w:val="null3"/>
        <w:ind w:firstLine="480"/>
        <w:jc w:val="both"/>
      </w:pPr>
      <w:r>
        <w:rPr>
          <w:rFonts w:ascii="宋体" w:hAnsi="宋体" w:cs="宋体" w:eastAsia="宋体"/>
          <w:sz w:val="20"/>
        </w:rPr>
        <w:t>提供</w:t>
      </w:r>
      <w:r>
        <w:rPr>
          <w:rFonts w:ascii="宋体" w:hAnsi="宋体" w:cs="宋体" w:eastAsia="宋体"/>
          <w:sz w:val="20"/>
        </w:rPr>
        <w:t>2名人员提供1年现场驻点服务，协助处理厅网站日常事务工作，包括厅网站内容协调、编辑发布、资料整理和其他相关的工作</w:t>
      </w:r>
      <w:r>
        <w:rPr>
          <w:rFonts w:ascii="宋体" w:hAnsi="宋体" w:cs="宋体" w:eastAsia="宋体"/>
          <w:sz w:val="20"/>
        </w:rPr>
        <w:t>。</w:t>
      </w:r>
    </w:p>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福建省交通信息通信与应急处置中心</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合同签订后一年内完成项目服务部分</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验收合格交付</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1、期次2，说明：按照招标文件及采购合同要求，项目完成并经验收评估通过。</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1、服务执行半年后，通过采购人组织的项目半年验收后按考核及支付标准进行支付。考核分达到90分（含90分）以上，达到付款条件起10日内，支付合同总金额的50.00%</w:t>
            </w:r>
          </w:p>
          <w:p>
            <w:pPr>
              <w:pStyle w:val="null3"/>
              <w:jc w:val="left"/>
            </w:pPr>
            <w:r>
              <w:rPr/>
              <w:t>2、服务执行完毕后，通过采购人组织的项目整体验收后按考核及支付标准进行支付。考核分达到90分（含90分）以上，达到付款条件起10日内，支付合同总金额的50.00%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rFonts w:ascii="宋体" w:hAnsi="宋体" w:cs="宋体" w:eastAsia="宋体"/>
          <w:sz w:val="20"/>
          <w:shd w:fill="FFFFFF" w:val="clear"/>
        </w:rPr>
        <w:t>★1、服务期限：</w:t>
      </w:r>
      <w:r>
        <w:rPr>
          <w:rFonts w:ascii="宋体" w:hAnsi="宋体" w:cs="宋体" w:eastAsia="宋体"/>
          <w:sz w:val="20"/>
          <w:shd w:fill="FFFFFF" w:val="clear"/>
        </w:rPr>
        <w:t>合同签定</w:t>
      </w:r>
      <w:r>
        <w:rPr>
          <w:rFonts w:ascii="宋体" w:hAnsi="宋体" w:cs="宋体" w:eastAsia="宋体"/>
          <w:sz w:val="20"/>
          <w:shd w:fill="FFFFFF" w:val="clear"/>
        </w:rPr>
        <w:t>后一年。</w:t>
      </w:r>
    </w:p>
    <w:p>
      <w:pPr>
        <w:pStyle w:val="null3"/>
        <w:ind w:firstLine="420"/>
        <w:jc w:val="left"/>
      </w:pPr>
      <w:r>
        <w:rPr>
          <w:rFonts w:ascii="宋体" w:hAnsi="宋体" w:cs="宋体" w:eastAsia="宋体"/>
          <w:sz w:val="20"/>
          <w:shd w:fill="FFFFFF" w:val="clear"/>
        </w:rPr>
        <w:t>★2、违约责任</w:t>
      </w:r>
    </w:p>
    <w:p>
      <w:pPr>
        <w:pStyle w:val="null3"/>
        <w:ind w:firstLine="420"/>
        <w:jc w:val="left"/>
      </w:pPr>
      <w:r>
        <w:rPr>
          <w:rFonts w:ascii="宋体" w:hAnsi="宋体" w:cs="宋体" w:eastAsia="宋体"/>
          <w:sz w:val="20"/>
          <w:shd w:fill="FFFFFF" w:val="clear"/>
        </w:rPr>
        <w:t>2.1因中标人原因造成采购合同无法按时签订，视为中标人违约，中标人违约对采购人造成的损失的，需另行支付相应的赔偿。</w:t>
      </w:r>
    </w:p>
    <w:p>
      <w:pPr>
        <w:pStyle w:val="null3"/>
        <w:ind w:firstLine="420"/>
        <w:jc w:val="left"/>
      </w:pPr>
      <w:r>
        <w:rPr>
          <w:rFonts w:ascii="宋体" w:hAnsi="宋体" w:cs="宋体" w:eastAsia="宋体"/>
          <w:sz w:val="20"/>
          <w:shd w:fill="FFFFFF" w:val="clear"/>
        </w:rPr>
        <w:t>2.2在签定采购合同之后，中标人要求解除合同的，视为中标人违约，对采购人造成的损失的，中标人需支付相应的赔偿。</w:t>
      </w:r>
    </w:p>
    <w:p>
      <w:pPr>
        <w:pStyle w:val="null3"/>
        <w:ind w:firstLine="420"/>
        <w:jc w:val="left"/>
      </w:pPr>
      <w:r>
        <w:rPr>
          <w:rFonts w:ascii="宋体" w:hAnsi="宋体" w:cs="宋体" w:eastAsia="宋体"/>
          <w:sz w:val="20"/>
          <w:shd w:fill="FFFFFF" w:val="clear"/>
        </w:rPr>
        <w:t>2.3因中标人原因发生重大质量事故，除依约承担赔偿责任外，还将按有关质量管理办法规定执行。同时，采购人有权保留更换中标人的权利，并报相关行政主管部门处罚。</w:t>
      </w:r>
    </w:p>
    <w:p>
      <w:pPr>
        <w:pStyle w:val="null3"/>
        <w:ind w:firstLine="420"/>
        <w:jc w:val="left"/>
      </w:pPr>
      <w:r>
        <w:rPr>
          <w:rFonts w:ascii="宋体" w:hAnsi="宋体" w:cs="宋体" w:eastAsia="宋体"/>
          <w:sz w:val="20"/>
          <w:shd w:fill="FFFFFF" w:val="clear"/>
        </w:rPr>
        <w:t>2.4在明确违约责任后，中标人应在接到书面通知书起七天内支付违约金、赔偿金等。</w:t>
      </w:r>
    </w:p>
    <w:p>
      <w:pPr>
        <w:pStyle w:val="null3"/>
        <w:ind w:firstLine="420"/>
        <w:jc w:val="left"/>
      </w:pPr>
      <w:r>
        <w:rPr>
          <w:rFonts w:ascii="宋体" w:hAnsi="宋体" w:cs="宋体" w:eastAsia="宋体"/>
          <w:sz w:val="20"/>
          <w:shd w:fill="FFFFFF" w:val="clear"/>
        </w:rPr>
        <w:t>★3、知识产权</w:t>
      </w:r>
    </w:p>
    <w:p>
      <w:pPr>
        <w:pStyle w:val="null3"/>
        <w:ind w:firstLine="420"/>
        <w:jc w:val="left"/>
      </w:pPr>
      <w:r>
        <w:rPr>
          <w:rFonts w:ascii="宋体" w:hAnsi="宋体" w:cs="宋体" w:eastAsia="宋体"/>
          <w:sz w:val="20"/>
          <w:shd w:fill="FFFFFF" w:val="clear"/>
        </w:rPr>
        <w:t>投标人须保障采购人在使用该服务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w:t>
      </w:r>
    </w:p>
    <w:p>
      <w:pPr>
        <w:pStyle w:val="null3"/>
        <w:ind w:firstLine="420"/>
        <w:jc w:val="left"/>
      </w:pPr>
      <w:r>
        <w:rPr>
          <w:rFonts w:ascii="宋体" w:hAnsi="宋体" w:cs="宋体" w:eastAsia="宋体"/>
          <w:sz w:val="20"/>
          <w:shd w:fill="FFFFFF" w:val="clear"/>
        </w:rPr>
        <w:t>★</w:t>
      </w:r>
      <w:r>
        <w:rPr>
          <w:rFonts w:ascii="宋体" w:hAnsi="宋体" w:cs="宋体" w:eastAsia="宋体"/>
          <w:sz w:val="20"/>
          <w:shd w:fill="FFFFFF" w:val="clear"/>
        </w:rPr>
        <w:t>4、</w:t>
      </w:r>
      <w:r>
        <w:rPr>
          <w:rFonts w:ascii="宋体" w:hAnsi="宋体" w:cs="宋体" w:eastAsia="宋体"/>
          <w:sz w:val="20"/>
          <w:shd w:fill="FFFFFF" w:val="clear"/>
        </w:rPr>
        <w:t>其他运维服务要求</w:t>
      </w:r>
    </w:p>
    <w:p>
      <w:pPr>
        <w:pStyle w:val="null3"/>
        <w:ind w:left="420" w:firstLine="420"/>
      </w:pPr>
      <w:r>
        <w:rPr>
          <w:rFonts w:ascii="宋体" w:hAnsi="宋体" w:cs="宋体" w:eastAsia="宋体"/>
          <w:shd w:fill="FFFFFF" w:val="clear"/>
        </w:rPr>
        <w:t>4</w:t>
      </w:r>
      <w:r>
        <w:rPr>
          <w:rFonts w:ascii="宋体" w:hAnsi="宋体" w:cs="宋体" w:eastAsia="宋体"/>
          <w:shd w:fill="FFFFFF" w:val="clear"/>
        </w:rPr>
        <w:t>.1、验收：</w:t>
      </w:r>
    </w:p>
    <w:p>
      <w:pPr>
        <w:pStyle w:val="null3"/>
        <w:ind w:firstLine="600"/>
        <w:jc w:val="left"/>
      </w:pPr>
      <w:r>
        <w:rPr>
          <w:rFonts w:ascii="宋体" w:hAnsi="宋体" w:cs="宋体" w:eastAsia="宋体"/>
          <w:sz w:val="20"/>
          <w:shd w:fill="FFFFFF" w:val="clear"/>
        </w:rPr>
        <w:t>服务执行半年及服务执行完毕后五个工作日内</w:t>
      </w:r>
      <w:r>
        <w:rPr>
          <w:rFonts w:ascii="宋体" w:hAnsi="宋体" w:cs="宋体" w:eastAsia="宋体"/>
          <w:sz w:val="20"/>
          <w:shd w:fill="FFFFFF" w:val="clear"/>
        </w:rPr>
        <w:t>按</w:t>
      </w:r>
      <w:r>
        <w:rPr>
          <w:rFonts w:ascii="宋体" w:hAnsi="宋体" w:cs="宋体" w:eastAsia="宋体"/>
          <w:sz w:val="20"/>
          <w:shd w:fill="FFFFFF" w:val="clear"/>
        </w:rPr>
        <w:t>采购人</w:t>
      </w:r>
      <w:r>
        <w:rPr>
          <w:rFonts w:ascii="宋体" w:hAnsi="宋体" w:cs="宋体" w:eastAsia="宋体"/>
          <w:sz w:val="20"/>
          <w:shd w:fill="FFFFFF" w:val="clear"/>
        </w:rPr>
        <w:t>要求</w:t>
      </w:r>
      <w:r>
        <w:rPr>
          <w:rFonts w:ascii="宋体" w:hAnsi="宋体" w:cs="宋体" w:eastAsia="宋体"/>
          <w:sz w:val="20"/>
          <w:shd w:fill="FFFFFF" w:val="clear"/>
        </w:rPr>
        <w:t>出具一</w:t>
      </w:r>
      <w:r>
        <w:rPr>
          <w:rFonts w:ascii="宋体" w:hAnsi="宋体" w:cs="宋体" w:eastAsia="宋体"/>
          <w:sz w:val="20"/>
          <w:shd w:fill="FFFFFF" w:val="clear"/>
        </w:rPr>
        <w:t>套验收材料提供</w:t>
      </w:r>
      <w:r>
        <w:rPr>
          <w:rFonts w:ascii="宋体" w:hAnsi="宋体" w:cs="宋体" w:eastAsia="宋体"/>
          <w:sz w:val="20"/>
          <w:shd w:fill="FFFFFF" w:val="clear"/>
        </w:rPr>
        <w:t>给采购人</w:t>
      </w:r>
      <w:r>
        <w:rPr>
          <w:rFonts w:ascii="宋体" w:hAnsi="宋体" w:cs="宋体" w:eastAsia="宋体"/>
          <w:sz w:val="20"/>
          <w:shd w:fill="FFFFFF" w:val="clear"/>
        </w:rPr>
        <w:t>，</w:t>
      </w:r>
      <w:r>
        <w:rPr>
          <w:rFonts w:ascii="宋体" w:hAnsi="宋体" w:cs="宋体" w:eastAsia="宋体"/>
          <w:sz w:val="20"/>
          <w:shd w:fill="FFFFFF" w:val="clear"/>
        </w:rPr>
        <w:t>采购人</w:t>
      </w:r>
      <w:r>
        <w:rPr>
          <w:rFonts w:ascii="宋体" w:hAnsi="宋体" w:cs="宋体" w:eastAsia="宋体"/>
          <w:sz w:val="20"/>
          <w:shd w:fill="FFFFFF" w:val="clear"/>
        </w:rPr>
        <w:t>组织项目阶段性验收或项目整体验收</w:t>
      </w:r>
      <w:r>
        <w:rPr>
          <w:rFonts w:ascii="宋体" w:hAnsi="宋体" w:cs="宋体" w:eastAsia="宋体"/>
          <w:sz w:val="20"/>
          <w:shd w:fill="FFFFFF" w:val="clear"/>
        </w:rPr>
        <w:t>。</w:t>
      </w:r>
    </w:p>
    <w:p>
      <w:pPr>
        <w:pStyle w:val="null3"/>
        <w:ind w:left="480" w:firstLine="420"/>
      </w:pPr>
      <w:r>
        <w:rPr>
          <w:rFonts w:ascii="宋体" w:hAnsi="宋体" w:cs="宋体" w:eastAsia="宋体"/>
          <w:shd w:fill="FFFFFF" w:val="clear"/>
        </w:rPr>
        <w:t>4</w:t>
      </w:r>
      <w:r>
        <w:rPr>
          <w:rFonts w:ascii="宋体" w:hAnsi="宋体" w:cs="宋体" w:eastAsia="宋体"/>
          <w:shd w:fill="FFFFFF" w:val="clear"/>
        </w:rPr>
        <w:t>.2、考核及支付标准</w:t>
      </w:r>
    </w:p>
    <w:p>
      <w:pPr>
        <w:pStyle w:val="null3"/>
        <w:ind w:firstLine="420"/>
        <w:jc w:val="left"/>
      </w:pPr>
      <w:r>
        <w:rPr>
          <w:rFonts w:ascii="宋体" w:hAnsi="宋体" w:cs="宋体" w:eastAsia="宋体"/>
          <w:sz w:val="20"/>
          <w:shd w:fill="FFFFFF" w:val="clear"/>
        </w:rPr>
        <w:t>项目考核每半年度付款一次，服务费为合同总金额的</w:t>
      </w:r>
      <w:r>
        <w:rPr>
          <w:rFonts w:ascii="宋体" w:hAnsi="宋体" w:cs="宋体" w:eastAsia="宋体"/>
          <w:sz w:val="20"/>
          <w:shd w:fill="FFFFFF" w:val="clear"/>
        </w:rPr>
        <w:t>50%。由福建省交通信息通信与应急处置中心结合工作实际进行考核，考核办法满分为100分，该分数将作为服务费用支出的依据。考核分数高于90分（含90分），支付100%服务费；考核分数89-80分，支付80%服务费；考核分数79-70分，支付70%服务费；考核分数69-60分，支付60%服务费。若不能满足本招标文件、合同相关条款规定服务要求，且考核低于60分的，采购人将扣除本期服务费。</w:t>
      </w:r>
    </w:p>
    <w:p>
      <w:pPr>
        <w:pStyle w:val="null3"/>
        <w:ind w:firstLine="420"/>
        <w:jc w:val="left"/>
      </w:pPr>
      <w:r>
        <w:rPr>
          <w:rFonts w:ascii="宋体" w:hAnsi="宋体" w:cs="宋体" w:eastAsia="宋体"/>
          <w:sz w:val="20"/>
          <w:shd w:fill="FFFFFF" w:val="clear"/>
        </w:rPr>
        <w:t>考核参照指标如下表：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8304"/>
            <w:gridSpan w:val="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业务管理考核标准（35分）</w:t>
            </w:r>
          </w:p>
        </w:tc>
      </w:tr>
      <w:tr>
        <w:tc>
          <w:tcPr>
            <w:tcW w:type="dxa" w:w="1384"/>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考核类别</w:t>
            </w:r>
          </w:p>
        </w:tc>
        <w:tc>
          <w:tcPr>
            <w:tcW w:type="dxa" w:w="138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考核内容</w:t>
            </w:r>
          </w:p>
        </w:tc>
        <w:tc>
          <w:tcPr>
            <w:tcW w:type="dxa" w:w="138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考核标准</w:t>
            </w:r>
          </w:p>
        </w:tc>
        <w:tc>
          <w:tcPr>
            <w:tcW w:type="dxa" w:w="138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总分</w:t>
            </w:r>
          </w:p>
        </w:tc>
        <w:tc>
          <w:tcPr>
            <w:tcW w:type="dxa" w:w="138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得分</w:t>
            </w:r>
          </w:p>
        </w:tc>
        <w:tc>
          <w:tcPr>
            <w:tcW w:type="dxa" w:w="138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备注</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20"/>
              </w:rPr>
              <w:t>业务优化</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业务优化</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after="240"/>
              <w:jc w:val="both"/>
            </w:pPr>
            <w:r>
              <w:rPr>
                <w:rFonts w:ascii="宋体" w:hAnsi="宋体" w:cs="宋体" w:eastAsia="宋体"/>
                <w:sz w:val="20"/>
              </w:rPr>
              <w:t>日常若业主反馈应用系统功能设计不合理、使用过程中软件执行效率低下，应当天响应业主并当天作出优化评估，在评估时间内完成。若因未及时响应或未按照要求完成导致严重影响业主日常工作，一次扣3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业务变更</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验证测试</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after="240"/>
              <w:jc w:val="both"/>
            </w:pPr>
            <w:r>
              <w:rPr>
                <w:rFonts w:ascii="宋体" w:hAnsi="宋体" w:cs="宋体" w:eastAsia="宋体"/>
                <w:sz w:val="20"/>
              </w:rPr>
              <w:t>1.日常应用系统所有更新，源代码均需要在本地开发环境测试通过后才可部署至生产环境。同时部署至生产环境后应当天验证好业务可用性及相关功能是否正常并将测试报告上传工单，未验证导致业务系统更新后出现严重错误，一次扣3分。扣完为止。</w:t>
            </w:r>
          </w:p>
          <w:p>
            <w:pPr>
              <w:pStyle w:val="null3"/>
              <w:spacing w:before="240" w:after="240"/>
              <w:jc w:val="both"/>
            </w:pPr>
            <w:r>
              <w:rPr>
                <w:rFonts w:ascii="宋体" w:hAnsi="宋体" w:cs="宋体" w:eastAsia="宋体"/>
                <w:sz w:val="20"/>
              </w:rPr>
              <w:t>2.日常所有配置变更、更新均需要在微信或QQ群内向业主报备，若未向业主报备擅自更新，一次扣2分。</w:t>
            </w:r>
          </w:p>
          <w:p>
            <w:pPr>
              <w:pStyle w:val="null3"/>
              <w:spacing w:before="240" w:after="240"/>
              <w:jc w:val="both"/>
            </w:pPr>
            <w:r>
              <w:rPr>
                <w:rFonts w:ascii="宋体" w:hAnsi="宋体" w:cs="宋体" w:eastAsia="宋体"/>
                <w:sz w:val="20"/>
              </w:rPr>
              <w:t>3.日常相关应用系统更新后应及时将部署情况更新至运维手册内，超过两周未更新，一次扣2分。扣完为止。</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20</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手册更新</w:t>
            </w: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20"/>
              </w:rPr>
              <w:t>业务安全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漏洞修复</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after="240"/>
              <w:jc w:val="both"/>
            </w:pPr>
            <w:r>
              <w:rPr>
                <w:rFonts w:ascii="宋体" w:hAnsi="宋体" w:cs="宋体" w:eastAsia="宋体"/>
                <w:sz w:val="20"/>
              </w:rPr>
              <w:t>日常安全漏洞应在当天响应修复并给出预计完成修复时间，高危漏洞24小时内完成修复超时一小时扣一分。扣完为止。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特殊情况无法及时修复的，通过邮件形式向业主申请延期</w:t>
            </w:r>
          </w:p>
        </w:tc>
      </w:tr>
      <w:tr>
        <w:tc>
          <w:tcPr>
            <w:tcW w:type="dxa" w:w="8304"/>
            <w:gridSpan w:val="6"/>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服务管理考核标准（65分）</w:t>
            </w:r>
          </w:p>
        </w:tc>
      </w:tr>
      <w:tr>
        <w:tc>
          <w:tcPr>
            <w:tcW w:type="dxa" w:w="1384"/>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both"/>
            </w:pPr>
            <w:r>
              <w:rPr>
                <w:rFonts w:ascii="宋体" w:hAnsi="宋体" w:cs="宋体" w:eastAsia="宋体"/>
                <w:b/>
                <w:sz w:val="20"/>
              </w:rPr>
              <w:t>考核类别</w:t>
            </w:r>
          </w:p>
        </w:tc>
        <w:tc>
          <w:tcPr>
            <w:tcW w:type="dxa" w:w="138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考核内容</w:t>
            </w:r>
          </w:p>
        </w:tc>
        <w:tc>
          <w:tcPr>
            <w:tcW w:type="dxa" w:w="138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考核标准</w:t>
            </w:r>
          </w:p>
        </w:tc>
        <w:tc>
          <w:tcPr>
            <w:tcW w:type="dxa" w:w="138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满分</w:t>
            </w:r>
          </w:p>
        </w:tc>
        <w:tc>
          <w:tcPr>
            <w:tcW w:type="dxa" w:w="138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扣分</w:t>
            </w:r>
          </w:p>
        </w:tc>
        <w:tc>
          <w:tcPr>
            <w:tcW w:type="dxa" w:w="138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50"/>
              <w:jc w:val="center"/>
            </w:pPr>
            <w:r>
              <w:rPr>
                <w:rFonts w:ascii="宋体" w:hAnsi="宋体" w:cs="宋体" w:eastAsia="宋体"/>
                <w:b/>
                <w:sz w:val="20"/>
              </w:rPr>
              <w:t>备注</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20"/>
              </w:rPr>
              <w:t>服务协议</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服务项目是否符合协议的要求</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20"/>
              </w:rPr>
              <w:t>未遵守合同协议的服务项，少一项，扣2分。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18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报告提交</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合同要求输出提交报告情况</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20"/>
              </w:rPr>
              <w:t>交付物延迟提交的每次扣2分（超过2天），扣完为止。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巡检服务</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应用巡检</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after="240"/>
              <w:jc w:val="both"/>
            </w:pPr>
            <w:r>
              <w:rPr>
                <w:rFonts w:ascii="宋体" w:hAnsi="宋体" w:cs="宋体" w:eastAsia="宋体"/>
                <w:sz w:val="20"/>
              </w:rPr>
              <w:t>每周执行一次应用巡检，无执行扣2分，扣完为止。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故障处理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及时性</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after="240"/>
              <w:jc w:val="both"/>
            </w:pPr>
            <w:r>
              <w:rPr>
                <w:rFonts w:ascii="宋体" w:hAnsi="宋体" w:cs="宋体" w:eastAsia="宋体"/>
                <w:sz w:val="20"/>
              </w:rPr>
              <w:t>1.普通故障:4小时内定位故障原因并提交解决方案超时扣2分。</w:t>
            </w:r>
          </w:p>
          <w:p>
            <w:pPr>
              <w:pStyle w:val="null3"/>
              <w:spacing w:before="240" w:after="240"/>
              <w:jc w:val="both"/>
            </w:pPr>
            <w:r>
              <w:rPr>
                <w:rFonts w:ascii="宋体" w:hAnsi="宋体" w:cs="宋体" w:eastAsia="宋体"/>
                <w:sz w:val="20"/>
              </w:rPr>
              <w:t>2.严重故障:1小时内定位故障原因并提交解决方案，超时扣2分。</w:t>
            </w:r>
          </w:p>
          <w:p>
            <w:pPr>
              <w:pStyle w:val="null3"/>
              <w:spacing w:before="240" w:after="240"/>
              <w:jc w:val="both"/>
            </w:pPr>
            <w:r>
              <w:rPr>
                <w:rFonts w:ascii="宋体" w:hAnsi="宋体" w:cs="宋体" w:eastAsia="宋体"/>
                <w:sz w:val="20"/>
              </w:rPr>
              <w:t>3.故障处理完成未及时记录，无可追溯性，扣2分。</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8</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如因云平台设备故障不记录在考核范围内</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处理记录</w:t>
            </w: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20"/>
              </w:rPr>
              <w:t>事件上报</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问题上报及时性</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after="240"/>
              <w:jc w:val="both"/>
            </w:pPr>
            <w:r>
              <w:rPr>
                <w:rFonts w:ascii="宋体" w:hAnsi="宋体" w:cs="宋体" w:eastAsia="宋体"/>
                <w:sz w:val="20"/>
              </w:rPr>
              <w:t>日常事件发现后未及时上报导致问题恶化，一次扣2分，扣完为止。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14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技术支持</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20"/>
              </w:rPr>
              <w:t>远程技术支持</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20"/>
              </w:rPr>
              <w:t>1.节假日支撑人员电话或值班电话关机或30分钟内不回电，一次扣1分，扣完为止。</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11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额外加分项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after="240"/>
              <w:jc w:val="both"/>
            </w:pPr>
            <w:r>
              <w:rPr>
                <w:rFonts w:ascii="宋体" w:hAnsi="宋体" w:cs="宋体" w:eastAsia="宋体"/>
                <w:sz w:val="20"/>
              </w:rPr>
              <w:t>运维过程中发现重大隐患，及时上报得到业主认可的，每次加2分，不封顶。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额外减分项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after="240"/>
              <w:jc w:val="both"/>
            </w:pPr>
            <w:r>
              <w:rPr>
                <w:rFonts w:ascii="宋体" w:hAnsi="宋体" w:cs="宋体" w:eastAsia="宋体"/>
                <w:sz w:val="20"/>
              </w:rPr>
              <w:t>工作中没有按照流程处理或变更未得到业主同意导致事故的，每次减2分，不封顶。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4"/>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宋体" w:hAnsi="宋体" w:cs="宋体" w:eastAsia="宋体"/>
                <w:b/>
                <w:sz w:val="20"/>
              </w:rPr>
              <w:t>故障等级</w:t>
            </w:r>
          </w:p>
        </w:tc>
        <w:tc>
          <w:tcPr>
            <w:tcW w:type="dxa" w:w="6920"/>
            <w:gridSpan w:val="5"/>
            <w:tcBorders>
              <w:top w:val="non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spacing w:after="150"/>
              <w:jc w:val="center"/>
            </w:pPr>
            <w:r>
              <w:rPr>
                <w:rFonts w:ascii="宋体" w:hAnsi="宋体" w:cs="宋体" w:eastAsia="宋体"/>
                <w:b/>
                <w:sz w:val="20"/>
              </w:rPr>
              <w:t>故障说明</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普通</w:t>
            </w:r>
          </w:p>
        </w:tc>
        <w:tc>
          <w:tcPr>
            <w:tcW w:type="dxa" w:w="69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20"/>
              </w:rPr>
              <w:t>平台内单个应用系统故障或某个功能模块异常，且故障时长超过1小时。</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宋体" w:hAnsi="宋体" w:cs="宋体" w:eastAsia="宋体"/>
                <w:sz w:val="20"/>
              </w:rPr>
              <w:t>严重</w:t>
            </w:r>
          </w:p>
        </w:tc>
        <w:tc>
          <w:tcPr>
            <w:tcW w:type="dxa" w:w="692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宋体" w:hAnsi="宋体" w:cs="宋体" w:eastAsia="宋体"/>
                <w:sz w:val="20"/>
              </w:rPr>
              <w:t>平台内大面积应用系统故障、网站访问中断，且故障时长超过1小时。</w:t>
            </w:r>
          </w:p>
        </w:tc>
      </w:tr>
    </w:tbl>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