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附件一</w:t>
      </w:r>
    </w:p>
    <w:p>
      <w:pPr>
        <w:keepNext w:val="0"/>
        <w:keepLines w:val="0"/>
        <w:pageBreakBefore w:val="0"/>
        <w:kinsoku/>
        <w:wordWrap/>
        <w:overflowPunct/>
        <w:topLinePunct w:val="0"/>
        <w:bidi w:val="0"/>
        <w:adjustRightInd/>
        <w:snapToGrid/>
        <w:spacing w:line="560" w:lineRule="exact"/>
        <w:jc w:val="center"/>
        <w:rPr>
          <w:rFonts w:hint="eastAsia" w:asciiTheme="minorEastAsia" w:hAnsiTheme="minorEastAsia" w:eastAsiaTheme="minorEastAsia" w:cstheme="minorEastAsia"/>
          <w:b w:val="0"/>
          <w:bCs w:val="0"/>
          <w:snapToGrid w:val="0"/>
          <w:color w:val="000000"/>
          <w:spacing w:val="0"/>
          <w:w w:val="100"/>
          <w:kern w:val="24"/>
          <w:sz w:val="36"/>
          <w:szCs w:val="36"/>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36"/>
          <w:szCs w:val="36"/>
          <w:highlight w:val="none"/>
          <w:lang w:val="en-US" w:eastAsia="en-US" w:bidi="ar-SA"/>
          <w14:textOutline w14:w="3175" w14:cap="flat" w14:cmpd="sng">
            <w14:solidFill>
              <w14:srgbClr w14:val="000000"/>
            </w14:solidFill>
            <w14:prstDash w14:val="solid"/>
            <w14:miter w14:val="0"/>
          </w14:textOutline>
        </w:rPr>
        <w:t>廉政协议</w:t>
      </w:r>
    </w:p>
    <w:p>
      <w:pPr>
        <w:pStyle w:val="2"/>
        <w:rPr>
          <w:rFonts w:hint="eastAsia"/>
          <w:highlight w:val="none"/>
          <w:lang w:val="en-US" w:eastAsia="en-US"/>
        </w:rPr>
      </w:pPr>
    </w:p>
    <w:p>
      <w:pPr>
        <w:keepNext w:val="0"/>
        <w:keepLines w:val="0"/>
        <w:pageBreakBefore w:val="0"/>
        <w:widowControl/>
        <w:kinsoku/>
        <w:wordWrap/>
        <w:overflowPunct/>
        <w:topLinePunct w:val="0"/>
        <w:autoSpaceDE w:val="0"/>
        <w:autoSpaceDN w:val="0"/>
        <w:bidi w:val="0"/>
        <w:adjustRightInd/>
        <w:snapToGrid/>
        <w:spacing w:line="560" w:lineRule="exact"/>
        <w:ind w:firstLine="0" w:firstLineChars="0"/>
        <w:jc w:val="both"/>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 xml:space="preserve">合同名称：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交通运输厅省一体化协同办公平台运维项目</w:t>
      </w:r>
    </w:p>
    <w:p>
      <w:pPr>
        <w:keepNext w:val="0"/>
        <w:keepLines w:val="0"/>
        <w:pageBreakBefore w:val="0"/>
        <w:widowControl/>
        <w:kinsoku/>
        <w:wordWrap/>
        <w:overflowPunct/>
        <w:topLinePunct w:val="0"/>
        <w:autoSpaceDE w:val="0"/>
        <w:autoSpaceDN w:val="0"/>
        <w:bidi w:val="0"/>
        <w:adjustRightInd/>
        <w:snapToGrid/>
        <w:spacing w:line="560" w:lineRule="exact"/>
        <w:ind w:firstLine="0" w:firstLineChars="0"/>
        <w:jc w:val="both"/>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甲    方：</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福建省交通信息通信与应急处置中心</w:t>
      </w:r>
    </w:p>
    <w:p>
      <w:pPr>
        <w:keepNext w:val="0"/>
        <w:keepLines w:val="0"/>
        <w:pageBreakBefore w:val="0"/>
        <w:widowControl/>
        <w:kinsoku/>
        <w:wordWrap/>
        <w:overflowPunct/>
        <w:topLinePunct w:val="0"/>
        <w:autoSpaceDE w:val="0"/>
        <w:autoSpaceDN w:val="0"/>
        <w:bidi w:val="0"/>
        <w:adjustRightInd/>
        <w:snapToGrid/>
        <w:spacing w:line="560" w:lineRule="exact"/>
        <w:ind w:firstLine="0" w:firstLineChars="0"/>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地</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址：</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 xml:space="preserve"> 福建省福州市鼓楼区东水路18号交通综合大楼28楼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snapToGrid/>
        <w:spacing w:line="560" w:lineRule="exact"/>
        <w:ind w:firstLine="0" w:firstLineChars="0"/>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邮</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编：</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p>
    <w:p>
      <w:pPr>
        <w:pStyle w:val="2"/>
        <w:rPr>
          <w:rFonts w:hint="eastAsia"/>
          <w:highlight w:val="none"/>
          <w:lang w:val="en-US" w:eastAsia="zh-CN"/>
        </w:rPr>
      </w:pPr>
    </w:p>
    <w:p>
      <w:pPr>
        <w:keepNext w:val="0"/>
        <w:keepLines w:val="0"/>
        <w:pageBreakBefore w:val="0"/>
        <w:widowControl/>
        <w:kinsoku/>
        <w:wordWrap/>
        <w:overflowPunct/>
        <w:topLinePunct w:val="0"/>
        <w:autoSpaceDE w:val="0"/>
        <w:autoSpaceDN w:val="0"/>
        <w:bidi w:val="0"/>
        <w:adjustRightInd/>
        <w:snapToGrid/>
        <w:spacing w:line="560" w:lineRule="exact"/>
        <w:ind w:firstLine="0" w:firstLineChars="0"/>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 xml:space="preserve">乙    方：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福建省昱方智能工程有限公司</w:t>
      </w:r>
    </w:p>
    <w:p>
      <w:pPr>
        <w:keepNext w:val="0"/>
        <w:keepLines w:val="0"/>
        <w:pageBreakBefore w:val="0"/>
        <w:widowControl/>
        <w:kinsoku/>
        <w:wordWrap/>
        <w:overflowPunct/>
        <w:topLinePunct w:val="0"/>
        <w:autoSpaceDE w:val="0"/>
        <w:autoSpaceDN w:val="0"/>
        <w:bidi w:val="0"/>
        <w:adjustRightInd/>
        <w:snapToGrid/>
        <w:spacing w:line="560" w:lineRule="exact"/>
        <w:ind w:firstLine="0" w:firstLineChars="0"/>
        <w:textAlignment w:val="baseline"/>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地</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址：</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t>福建省泉州市丰泽区东海街道云山社区附中路267号</w:t>
      </w:r>
    </w:p>
    <w:p>
      <w:pPr>
        <w:keepNext w:val="0"/>
        <w:keepLines w:val="0"/>
        <w:pageBreakBefore w:val="0"/>
        <w:widowControl/>
        <w:kinsoku/>
        <w:wordWrap/>
        <w:overflowPunct/>
        <w:topLinePunct w:val="0"/>
        <w:autoSpaceDE w:val="0"/>
        <w:autoSpaceDN w:val="0"/>
        <w:bidi w:val="0"/>
        <w:adjustRightInd/>
        <w:snapToGrid/>
        <w:spacing w:line="560" w:lineRule="exact"/>
        <w:ind w:firstLine="1200" w:firstLineChars="500"/>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t>云山安置小区2幢2504室</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 xml:space="preserve">                                   </w:t>
      </w:r>
    </w:p>
    <w:p>
      <w:pPr>
        <w:keepNext w:val="0"/>
        <w:keepLines w:val="0"/>
        <w:pageBreakBefore w:val="0"/>
        <w:kinsoku/>
        <w:wordWrap/>
        <w:overflowPunct/>
        <w:topLinePunct w:val="0"/>
        <w:bidi w:val="0"/>
        <w:adjustRightInd/>
        <w:snapToGrid/>
        <w:spacing w:line="560" w:lineRule="exact"/>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邮</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 xml:space="preserve">编： </w:t>
      </w:r>
    </w:p>
    <w:p>
      <w:pPr>
        <w:pStyle w:val="2"/>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p>
    <w:p>
      <w:pPr>
        <w:pStyle w:val="3"/>
        <w:rPr>
          <w:rFonts w:hint="eastAsia"/>
          <w:highlight w:val="none"/>
          <w:lang w:val="en-US" w:eastAsia="en-US"/>
        </w:rPr>
      </w:pP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本协议是</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交通运输厅省一体化协同办公平台运维项目</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20</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23</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年度</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服务采购项目合同的附件。</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根据国家、行业的有关规定，为做好项目的廉政建设，甲乙双方就加强廉政建设，订立本协议。</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第一条  双方权利和义务</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（一）应严格遵守国家关于采购等经济活动适应于本项目的有关法律、法规、相关政策，以及廉政建设的各项规定；</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（二）严格执行合同文件，自觉按合同办事；</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三）业务活动必须坚持公开、公平、公正、诚信、透明的原则【涉及保密信息（指法律、内部规章制度以及应受其约束的合同、协议等法律文件规定应予以保密的国家秘密、商业秘密、技术秘密和其他保密信息）的业务活动除外】，不得损害国家、集体和对方利益；</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四）发现对方在业务活动中有违反廉政规定的违规、违纪、违法行为的，应及时给予提醒及纠正，并积极协助有关部门调查；情节严重的，在遵守法律法规以及公司政策的前提下，有权向对方上级主管部门举报，或向纪检监察、检察机关举报。乙方在业务活动中有违反廉政规定的违规、违纪、违法行为的，由甲方列入行业不良行为供应商。</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第二条  甲方的义务</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甲方及其工作人员，在事前、事中、事后应遵守以下规定：</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（一）不得向乙方索要或接受回扣、礼金、有价证券、贵重物品和好处费、感谢费等；</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（二）不得在乙方及其相关单位报销任何应由甲方或个人支付的费用；</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（三）不得接受乙方提供的通讯工具、交通工具和高档办公用品等；</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（四）不得要求、暗示或接受乙方为个人装修住房、婚丧嫁娶、亲属的工作安排以及出国（境）、旅游等提供方便；</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（五）不得参加乙方安排的宴请、健身、娱乐等活动；</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（六）不得向乙方介绍或为亲属参与同甲方项目有关的经济活动；</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（七）甲方及其工作人员要秉公办事，不准营私舞弊，不准利用职权从事各种个人有偿中介活动。</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第三条  乙方的义务</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乙方及其工作人员，应按照有关法律法规和程序开展业务工作，严格执行国家、行业有关方针、政策，并遵守以下规定：</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（一）不得以任何理由向甲方及其工作人员赠送礼金、有价证券、贵重物品和回扣、好处费、感谢费等；</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（二）不得以任何理由为甲方及其工作人员报销应由对方或个人支付的费用；</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（三）不得为甲方及其工作人员提供通讯工具、交通工具和高档办公用品等；</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（四）不得为甲方及其工作人员装修住房、婚丧嫁娶、亲属的工作安排以及出国（境）、旅游等提供方便；</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（五）不得为甲方及其工作人员安排宴请（工作餐除外）、健身、娱乐等活动。</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第四条  违约责任</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（一）甲方及其工作人员有违反本协议第一、二条责任行为的，按照管理权限，依据有关法律法规和规定给予党纪、政纪处分或组织处理；涉嫌犯罪的，移交司法机关追究刑事责任；</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二）乙方及其工作人员有违反本协议第一、三条责任行为的，按照管理权限，依据有关法律法规和规定给予党纪、政纪处分或组织处理；情节严重的，甲方有权建议有关政府主管部门给予乙方一至三年内不得进入甲方所在行业的处罚；涉嫌犯罪的，移交司法机关追究刑事责任；给甲方单位造成直接经济损失的，应按照合同的约定予以赔偿；</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（三）对于乙方用行贿或其他违反本廉政协议规定的方法取得的结果，均应依照相关法律规定处理。乙方以行贿或其他违反本廉政协议规定的方法取得的经济效益（如有），均应依照相关法律规定处理。</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第五条  本协议由双方监督部门或其上级部门负责监督执行，并由双方监督部门或其上级部门相互约请对本协议执行情况进行检查。</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第六条  本协议作为主合同的附件，与主合同具有同等法律效力。经主合同双方签署后立即生效。</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第七条  本协议的有效期自主合同双方签署之日起至主合同履行完毕之日止。</w:t>
      </w:r>
    </w:p>
    <w:p>
      <w:pPr>
        <w:pStyle w:val="2"/>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第八条  本协议一式肆份，甲乙双方各执贰份。</w:t>
      </w:r>
    </w:p>
    <w:p>
      <w:pPr>
        <w:pStyle w:val="2"/>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p>
    <w:p>
      <w:pPr>
        <w:pStyle w:val="2"/>
        <w:ind w:firstLine="960" w:firstLineChars="400"/>
        <w:rPr>
          <w:rFonts w:hint="default" w:eastAsia="宋体"/>
          <w:highlight w:val="none"/>
          <w:lang w:val="en-US" w:eastAsia="zh-CN"/>
        </w:rPr>
      </w:pPr>
      <w:r>
        <w:rPr>
          <w:rFonts w:hint="eastAsia"/>
          <w:highlight w:val="none"/>
          <w:lang w:val="en-US" w:eastAsia="zh-CN"/>
        </w:rPr>
        <w:t>(以下无正文）</w:t>
      </w:r>
    </w:p>
    <w:p>
      <w:pPr>
        <w:keepNext w:val="0"/>
        <w:keepLines w:val="0"/>
        <w:pageBreakBefore w:val="0"/>
        <w:kinsoku/>
        <w:wordWrap/>
        <w:overflowPunct/>
        <w:topLinePunct w:val="0"/>
        <w:bidi w:val="0"/>
        <w:adjustRightInd/>
        <w:snapToGrid/>
        <w:spacing w:line="560" w:lineRule="exact"/>
        <w:ind w:firstLine="480" w:firstLineChars="20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p>
    <w:p>
      <w:pPr>
        <w:pStyle w:val="2"/>
        <w:rPr>
          <w:rFonts w:hint="eastAsia"/>
          <w:highlight w:val="none"/>
          <w:lang w:val="en-US" w:eastAsia="en-US"/>
        </w:rPr>
      </w:pPr>
    </w:p>
    <w:p>
      <w:pP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br w:type="page"/>
      </w:r>
    </w:p>
    <w:p>
      <w:pPr>
        <w:pStyle w:val="2"/>
        <w:rPr>
          <w:rFonts w:hint="eastAsia"/>
          <w:highlight w:val="none"/>
          <w:lang w:val="en-US" w:eastAsia="en-US"/>
        </w:rPr>
      </w:pPr>
    </w:p>
    <w:p>
      <w:pPr>
        <w:keepNext w:val="0"/>
        <w:keepLines w:val="0"/>
        <w:pageBreakBefore w:val="0"/>
        <w:kinsoku/>
        <w:wordWrap/>
        <w:overflowPunct/>
        <w:topLinePunct w:val="0"/>
        <w:bidi w:val="0"/>
        <w:adjustRightInd/>
        <w:snapToGrid/>
        <w:spacing w:line="560" w:lineRule="exact"/>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甲</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方：</w:t>
      </w:r>
      <w:r>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t>福建省交通信息通信与应急处置中心</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盖章）</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p>
    <w:p>
      <w:pPr>
        <w:keepNext w:val="0"/>
        <w:keepLines w:val="0"/>
        <w:pageBreakBefore w:val="0"/>
        <w:kinsoku/>
        <w:wordWrap/>
        <w:overflowPunct/>
        <w:topLinePunct w:val="0"/>
        <w:bidi w:val="0"/>
        <w:adjustRightInd/>
        <w:snapToGrid/>
        <w:spacing w:line="560" w:lineRule="exact"/>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p>
    <w:p>
      <w:pPr>
        <w:keepNext w:val="0"/>
        <w:keepLines w:val="0"/>
        <w:pageBreakBefore w:val="0"/>
        <w:kinsoku/>
        <w:wordWrap/>
        <w:overflowPunct/>
        <w:topLinePunct w:val="0"/>
        <w:bidi w:val="0"/>
        <w:adjustRightInd/>
        <w:snapToGrid/>
        <w:spacing w:line="560" w:lineRule="exact"/>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地</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址</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t>福建省福州市鼓楼区东水路18号交通综合大楼28楼</w:t>
      </w:r>
    </w:p>
    <w:p>
      <w:pPr>
        <w:pStyle w:val="2"/>
        <w:rPr>
          <w:rFonts w:hint="eastAsia" w:eastAsia="宋体"/>
          <w:highlight w:val="none"/>
          <w:lang w:val="en-US" w:eastAsia="zh-CN"/>
        </w:rPr>
      </w:pPr>
      <w:r>
        <w:rPr>
          <w:rFonts w:hint="eastAsia"/>
          <w:highlight w:val="none"/>
          <w:lang w:val="en-US" w:eastAsia="zh-CN"/>
        </w:rPr>
        <w:t xml:space="preserve"> </w:t>
      </w:r>
    </w:p>
    <w:p>
      <w:pPr>
        <w:keepNext w:val="0"/>
        <w:keepLines w:val="0"/>
        <w:pageBreakBefore w:val="0"/>
        <w:kinsoku/>
        <w:wordWrap/>
        <w:overflowPunct/>
        <w:topLinePunct w:val="0"/>
        <w:bidi w:val="0"/>
        <w:adjustRightInd/>
        <w:snapToGrid/>
        <w:spacing w:line="560" w:lineRule="exact"/>
        <w:rPr>
          <w:rFonts w:hint="default"/>
          <w:highlight w:val="none"/>
          <w:lang w:val="en-US" w:eastAsia="zh-CN"/>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法定代表人或委托代理人：</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p>
    <w:p>
      <w:pPr>
        <w:keepNext w:val="0"/>
        <w:keepLines w:val="0"/>
        <w:pageBreakBefore w:val="0"/>
        <w:kinsoku/>
        <w:wordWrap/>
        <w:overflowPunct/>
        <w:topLinePunct w:val="0"/>
        <w:bidi w:val="0"/>
        <w:adjustRightInd/>
        <w:snapToGrid/>
        <w:spacing w:line="560" w:lineRule="exac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联系电话：</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87077967</w:t>
      </w:r>
    </w:p>
    <w:p>
      <w:pPr>
        <w:pStyle w:val="2"/>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p>
    <w:p>
      <w:pPr>
        <w:pStyle w:val="3"/>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p>
    <w:p>
      <w:pP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p>
    <w:p>
      <w:pPr>
        <w:keepNext w:val="0"/>
        <w:keepLines w:val="0"/>
        <w:pageBreakBefore w:val="0"/>
        <w:kinsoku/>
        <w:wordWrap/>
        <w:overflowPunct/>
        <w:topLinePunct w:val="0"/>
        <w:bidi w:val="0"/>
        <w:adjustRightInd/>
        <w:snapToGrid/>
        <w:spacing w:line="560" w:lineRule="exact"/>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乙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方：</w:t>
      </w:r>
      <w:r>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t>福建省昱方智能工程有限公司</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盖章）</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p>
    <w:p>
      <w:pPr>
        <w:keepNext w:val="0"/>
        <w:keepLines w:val="0"/>
        <w:pageBreakBefore w:val="0"/>
        <w:kinsoku/>
        <w:wordWrap/>
        <w:overflowPunct/>
        <w:topLinePunct w:val="0"/>
        <w:bidi w:val="0"/>
        <w:adjustRightInd/>
        <w:snapToGrid/>
        <w:spacing w:line="560" w:lineRule="exact"/>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p>
    <w:p>
      <w:pPr>
        <w:keepNext w:val="0"/>
        <w:keepLines w:val="0"/>
        <w:pageBreakBefore w:val="0"/>
        <w:kinsoku/>
        <w:wordWrap/>
        <w:overflowPunct/>
        <w:topLinePunct w:val="0"/>
        <w:bidi w:val="0"/>
        <w:adjustRightInd/>
        <w:snapToGrid/>
        <w:spacing w:line="560" w:lineRule="exact"/>
        <w:ind w:left="1200" w:hanging="1200" w:hangingChars="500"/>
        <w:rPr>
          <w:rFonts w:hint="eastAsia" w:asciiTheme="minorEastAsia" w:hAnsiTheme="minorEastAsia" w:eastAsiaTheme="minorEastAsia" w:cstheme="minorEastAsia"/>
          <w:b w:val="0"/>
          <w:bCs w:val="0"/>
          <w:spacing w:val="0"/>
          <w:w w:val="100"/>
          <w:kern w:val="24"/>
          <w:sz w:val="24"/>
          <w:szCs w:val="24"/>
          <w:highlight w:val="none"/>
          <w:lang w:eastAsia="zh-CN"/>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地</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址</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t>福建省泉州市丰泽区东海街道云山社区附中路267号</w:t>
      </w:r>
    </w:p>
    <w:p>
      <w:pPr>
        <w:keepNext w:val="0"/>
        <w:keepLines w:val="0"/>
        <w:pageBreakBefore w:val="0"/>
        <w:kinsoku/>
        <w:wordWrap/>
        <w:overflowPunct/>
        <w:topLinePunct w:val="0"/>
        <w:bidi w:val="0"/>
        <w:adjustRightInd/>
        <w:snapToGrid/>
        <w:spacing w:line="560" w:lineRule="exact"/>
        <w:ind w:left="1200" w:hanging="1200" w:hangingChars="500"/>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t>云山安置小区2幢2504室</w:t>
      </w:r>
    </w:p>
    <w:p>
      <w:pPr>
        <w:pStyle w:val="2"/>
        <w:rPr>
          <w:rFonts w:hint="eastAsia"/>
          <w:highlight w:val="none"/>
        </w:rPr>
      </w:pPr>
    </w:p>
    <w:p>
      <w:pPr>
        <w:keepNext w:val="0"/>
        <w:keepLines w:val="0"/>
        <w:pageBreakBefore w:val="0"/>
        <w:kinsoku/>
        <w:wordWrap/>
        <w:overflowPunct/>
        <w:topLinePunct w:val="0"/>
        <w:bidi w:val="0"/>
        <w:adjustRightInd/>
        <w:snapToGrid/>
        <w:spacing w:line="560" w:lineRule="exact"/>
        <w:rPr>
          <w:rFonts w:hint="default"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法定代表人或委托代理人：</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邵华纯</w:t>
      </w:r>
    </w:p>
    <w:p>
      <w:pPr>
        <w:pStyle w:val="2"/>
        <w:rPr>
          <w:rFonts w:hint="eastAsia"/>
          <w:highlight w:val="none"/>
          <w:lang w:val="en-US" w:eastAsia="zh-CN"/>
        </w:rPr>
      </w:pPr>
    </w:p>
    <w:p>
      <w:pPr>
        <w:keepNext w:val="0"/>
        <w:keepLines w:val="0"/>
        <w:pageBreakBefore w:val="0"/>
        <w:kinsoku/>
        <w:wordWrap/>
        <w:overflowPunct/>
        <w:topLinePunct w:val="0"/>
        <w:bidi w:val="0"/>
        <w:adjustRightInd/>
        <w:snapToGrid/>
        <w:spacing w:line="560" w:lineRule="exac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联系电话：</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15805952188</w:t>
      </w:r>
    </w:p>
    <w:p>
      <w:pPr>
        <w:pStyle w:val="3"/>
        <w:rPr>
          <w:rFonts w:hint="eastAsia" w:asciiTheme="minorEastAsia" w:hAnsiTheme="minorEastAsia" w:eastAsiaTheme="minorEastAsia" w:cstheme="minorEastAsia"/>
          <w:b w:val="0"/>
          <w:bCs w:val="0"/>
          <w:snapToGrid w:val="0"/>
          <w:color w:val="000000"/>
          <w:spacing w:val="0"/>
          <w:w w:val="100"/>
          <w:kern w:val="24"/>
          <w:sz w:val="24"/>
          <w:szCs w:val="24"/>
          <w:highlight w:val="yellow"/>
          <w:lang w:val="en-US" w:eastAsia="en-US" w:bidi="ar-SA"/>
          <w14:textOutline w14:w="3175" w14:cap="flat" w14:cmpd="sng">
            <w14:solidFill>
              <w14:srgbClr w14:val="000000"/>
            </w14:solidFill>
            <w14:prstDash w14:val="solid"/>
            <w14:miter w14:val="0"/>
          </w14:textOutline>
        </w:rPr>
      </w:pPr>
    </w:p>
    <w:p>
      <w:pPr>
        <w:rPr>
          <w:rFonts w:hint="eastAsia" w:asciiTheme="minorEastAsia" w:hAnsiTheme="minorEastAsia" w:eastAsiaTheme="minorEastAsia" w:cstheme="minorEastAsia"/>
          <w:b w:val="0"/>
          <w:bCs w:val="0"/>
          <w:snapToGrid w:val="0"/>
          <w:color w:val="000000"/>
          <w:spacing w:val="0"/>
          <w:w w:val="100"/>
          <w:kern w:val="24"/>
          <w:sz w:val="24"/>
          <w:szCs w:val="24"/>
          <w:highlight w:val="yellow"/>
          <w:lang w:val="en-US" w:eastAsia="en-US" w:bidi="ar-SA"/>
          <w14:textOutline w14:w="3175"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b w:val="0"/>
          <w:bCs w:val="0"/>
          <w:snapToGrid w:val="0"/>
          <w:color w:val="000000"/>
          <w:spacing w:val="0"/>
          <w:w w:val="100"/>
          <w:kern w:val="24"/>
          <w:sz w:val="24"/>
          <w:szCs w:val="24"/>
          <w:highlight w:val="yellow"/>
          <w:lang w:val="en-US" w:eastAsia="en-US" w:bidi="ar-SA"/>
          <w14:textOutline w14:w="3175" w14:cap="flat" w14:cmpd="sng">
            <w14:solidFill>
              <w14:srgbClr w14:val="000000"/>
            </w14:solidFill>
            <w14:prstDash w14:val="solid"/>
            <w14:miter w14:val="0"/>
          </w14:textOutline>
        </w:rPr>
      </w:pPr>
    </w:p>
    <w:p>
      <w:pPr>
        <w:pStyle w:val="3"/>
        <w:rPr>
          <w:rFonts w:hint="eastAsia" w:asciiTheme="minorEastAsia" w:hAnsiTheme="minorEastAsia" w:eastAsiaTheme="minorEastAsia" w:cstheme="minorEastAsia"/>
          <w:b w:val="0"/>
          <w:bCs w:val="0"/>
          <w:snapToGrid w:val="0"/>
          <w:color w:val="000000"/>
          <w:spacing w:val="0"/>
          <w:w w:val="100"/>
          <w:kern w:val="24"/>
          <w:sz w:val="24"/>
          <w:szCs w:val="24"/>
          <w:highlight w:val="yellow"/>
          <w:lang w:val="en-US" w:eastAsia="en-US" w:bidi="ar-SA"/>
          <w14:textOutline w14:w="3175" w14:cap="flat" w14:cmpd="sng">
            <w14:solidFill>
              <w14:srgbClr w14:val="000000"/>
            </w14:solidFill>
            <w14:prstDash w14:val="solid"/>
            <w14:miter w14:val="0"/>
          </w14:textOutline>
        </w:rPr>
      </w:pPr>
    </w:p>
    <w:p>
      <w:pPr>
        <w:rPr>
          <w:rFonts w:hint="eastAsia" w:asciiTheme="minorEastAsia" w:hAnsiTheme="minorEastAsia" w:eastAsiaTheme="minorEastAsia" w:cstheme="minorEastAsia"/>
          <w:b w:val="0"/>
          <w:bCs w:val="0"/>
          <w:snapToGrid w:val="0"/>
          <w:color w:val="000000"/>
          <w:spacing w:val="0"/>
          <w:w w:val="100"/>
          <w:kern w:val="24"/>
          <w:sz w:val="24"/>
          <w:szCs w:val="24"/>
          <w:highlight w:val="yellow"/>
          <w:lang w:val="en-US" w:eastAsia="en-US" w:bidi="ar-SA"/>
          <w14:textOutline w14:w="3175"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b w:val="0"/>
          <w:bCs w:val="0"/>
          <w:snapToGrid w:val="0"/>
          <w:color w:val="000000"/>
          <w:spacing w:val="0"/>
          <w:w w:val="100"/>
          <w:kern w:val="24"/>
          <w:sz w:val="24"/>
          <w:szCs w:val="24"/>
          <w:highlight w:val="yellow"/>
          <w:lang w:val="en-US" w:eastAsia="en-US" w:bidi="ar-SA"/>
          <w14:textOutline w14:w="3175" w14:cap="flat" w14:cmpd="sng">
            <w14:solidFill>
              <w14:srgbClr w14:val="000000"/>
            </w14:solidFill>
            <w14:prstDash w14:val="solid"/>
            <w14:miter w14:val="0"/>
          </w14:textOutline>
        </w:rPr>
      </w:pPr>
    </w:p>
    <w:p>
      <w:pPr>
        <w:pStyle w:val="3"/>
        <w:rPr>
          <w:rFonts w:hint="eastAsia" w:asciiTheme="minorEastAsia" w:hAnsiTheme="minorEastAsia" w:eastAsiaTheme="minorEastAsia" w:cstheme="minorEastAsia"/>
          <w:b w:val="0"/>
          <w:bCs w:val="0"/>
          <w:snapToGrid w:val="0"/>
          <w:color w:val="000000"/>
          <w:spacing w:val="0"/>
          <w:w w:val="100"/>
          <w:kern w:val="24"/>
          <w:sz w:val="24"/>
          <w:szCs w:val="24"/>
          <w:highlight w:val="yellow"/>
          <w:lang w:val="en-US" w:eastAsia="en-US" w:bidi="ar-SA"/>
          <w14:textOutline w14:w="3175" w14:cap="flat" w14:cmpd="sng">
            <w14:solidFill>
              <w14:srgbClr w14:val="000000"/>
            </w14:solidFill>
            <w14:prstDash w14:val="solid"/>
            <w14:miter w14:val="0"/>
          </w14:textOutline>
        </w:rPr>
      </w:pPr>
    </w:p>
    <w:p>
      <w:pPr>
        <w:rPr>
          <w:rFonts w:hint="eastAsia"/>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right"/>
        <w:textAlignment w:val="baseline"/>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签订日期：202</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3</w:t>
      </w: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年</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 xml:space="preserve"> 8</w:t>
      </w: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月</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7日</w:t>
      </w:r>
    </w:p>
    <w:p>
      <w:pPr>
        <w:pStyle w:val="3"/>
        <w:rPr>
          <w:rFonts w:hint="default"/>
          <w:lang w:val="en-US" w:eastAsia="zh-CN"/>
        </w:rPr>
        <w:sectPr>
          <w:footerReference r:id="rId5" w:type="default"/>
          <w:type w:val="continuous"/>
          <w:pgSz w:w="11900" w:h="16840"/>
          <w:pgMar w:top="1554" w:right="1508" w:bottom="1553" w:left="1508" w:header="0" w:footer="3" w:gutter="0"/>
          <w:pgNumType w:fmt="decimal"/>
          <w:cols w:space="720" w:num="1"/>
          <w:docGrid w:linePitch="360" w:charSpace="0"/>
        </w:sectPr>
      </w:pPr>
    </w:p>
    <w:p>
      <w:pPr>
        <w:pStyle w:val="2"/>
        <w:rPr>
          <w:rFonts w:hint="default" w:asciiTheme="minorEastAsia" w:hAnsiTheme="minorEastAsia" w:eastAsiaTheme="minorEastAsia" w:cstheme="minorEastAsia"/>
          <w:b w:val="0"/>
          <w:bCs w:val="0"/>
          <w:snapToGrid w:val="0"/>
          <w:color w:val="000000"/>
          <w:spacing w:val="0"/>
          <w:w w:val="100"/>
          <w:kern w:val="24"/>
          <w:sz w:val="24"/>
          <w:szCs w:val="24"/>
          <w:highlight w:val="yellow"/>
          <w:lang w:val="en-US" w:eastAsia="zh-CN" w:bidi="ar-SA"/>
          <w14:textOutline w14:w="3175" w14:cap="flat" w14:cmpd="sng">
            <w14:solidFill>
              <w14:srgbClr w14:val="000000"/>
            </w14:solidFill>
            <w14:prstDash w14:val="solid"/>
            <w14:miter w14:val="0"/>
          </w14:textOutline>
        </w:rPr>
      </w:pPr>
      <w:bookmarkStart w:id="0" w:name="_GoBack"/>
      <w:bookmarkEnd w:id="0"/>
    </w:p>
    <w:sectPr>
      <w:footerReference r:id="rId6" w:type="default"/>
      <w:type w:val="continuous"/>
      <w:pgSz w:w="11900" w:h="16839"/>
      <w:pgMar w:top="1440" w:right="1080" w:bottom="1440" w:left="1080" w:header="0" w:footer="286" w:gutter="0"/>
      <w:pgNumType w:fmt="decimal"/>
      <w:cols w:equalWidth="0" w:num="1">
        <w:col w:w="10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exact"/>
      <w:jc w:val="right"/>
      <w:rPr>
        <w:rFonts w:ascii="Arial" w:hAnsi="Arial" w:eastAsia="Arial" w:cs="Arial"/>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ascii="Arial" w:hAnsi="Arial" w:eastAsia="Arial" w:cs="Arial"/>
        <w:spacing w:val="-3"/>
        <w:sz w:val="16"/>
        <w:szCs w:val="16"/>
      </w:rPr>
      <w:t>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JjNjExMzlhZGIwNjc3MmY1NTI0YzVmZGY3OWU0OTQifQ=="/>
  </w:docVars>
  <w:rsids>
    <w:rsidRoot w:val="00000000"/>
    <w:rsid w:val="034C1C21"/>
    <w:rsid w:val="03616914"/>
    <w:rsid w:val="069F521A"/>
    <w:rsid w:val="06FD6025"/>
    <w:rsid w:val="08E753B1"/>
    <w:rsid w:val="09F35113"/>
    <w:rsid w:val="0B3D39AE"/>
    <w:rsid w:val="0B9D5C2E"/>
    <w:rsid w:val="0CF96453"/>
    <w:rsid w:val="0DB33895"/>
    <w:rsid w:val="0F1F58A5"/>
    <w:rsid w:val="0F331350"/>
    <w:rsid w:val="1025513D"/>
    <w:rsid w:val="10D4446D"/>
    <w:rsid w:val="11D26D23"/>
    <w:rsid w:val="14427FF6"/>
    <w:rsid w:val="16F565E0"/>
    <w:rsid w:val="188744BB"/>
    <w:rsid w:val="18FF04F5"/>
    <w:rsid w:val="1EC117B6"/>
    <w:rsid w:val="1F3C251B"/>
    <w:rsid w:val="1FA53BA4"/>
    <w:rsid w:val="21645399"/>
    <w:rsid w:val="251F61A7"/>
    <w:rsid w:val="2924064C"/>
    <w:rsid w:val="294D628D"/>
    <w:rsid w:val="2AD453A6"/>
    <w:rsid w:val="2BB70F0A"/>
    <w:rsid w:val="2C8114F5"/>
    <w:rsid w:val="2CCD64E8"/>
    <w:rsid w:val="2CFC2743"/>
    <w:rsid w:val="2D2B1461"/>
    <w:rsid w:val="30873990"/>
    <w:rsid w:val="308C1416"/>
    <w:rsid w:val="33751688"/>
    <w:rsid w:val="33D20888"/>
    <w:rsid w:val="34180991"/>
    <w:rsid w:val="357C1640"/>
    <w:rsid w:val="36F01751"/>
    <w:rsid w:val="39BB5C1F"/>
    <w:rsid w:val="39DE1779"/>
    <w:rsid w:val="39E93A04"/>
    <w:rsid w:val="3A9E7716"/>
    <w:rsid w:val="3AD44EE6"/>
    <w:rsid w:val="3ADB44C6"/>
    <w:rsid w:val="3B4E14F1"/>
    <w:rsid w:val="3B9823B7"/>
    <w:rsid w:val="3E9A6446"/>
    <w:rsid w:val="3EE14075"/>
    <w:rsid w:val="3FEC2CD2"/>
    <w:rsid w:val="409241A5"/>
    <w:rsid w:val="40D21EC7"/>
    <w:rsid w:val="41354204"/>
    <w:rsid w:val="41406E31"/>
    <w:rsid w:val="41D34149"/>
    <w:rsid w:val="42521324"/>
    <w:rsid w:val="42856DD7"/>
    <w:rsid w:val="45071DC9"/>
    <w:rsid w:val="45E054DE"/>
    <w:rsid w:val="487A3570"/>
    <w:rsid w:val="490948F4"/>
    <w:rsid w:val="495C67D2"/>
    <w:rsid w:val="49741F46"/>
    <w:rsid w:val="4B4C2876"/>
    <w:rsid w:val="4B82392F"/>
    <w:rsid w:val="4D471547"/>
    <w:rsid w:val="54B5148C"/>
    <w:rsid w:val="572261AC"/>
    <w:rsid w:val="59305585"/>
    <w:rsid w:val="59A33FA9"/>
    <w:rsid w:val="5AB1340E"/>
    <w:rsid w:val="5BC47F4B"/>
    <w:rsid w:val="5D706898"/>
    <w:rsid w:val="5E343D6A"/>
    <w:rsid w:val="62393EA1"/>
    <w:rsid w:val="631101D6"/>
    <w:rsid w:val="63155F18"/>
    <w:rsid w:val="63A948B2"/>
    <w:rsid w:val="65141416"/>
    <w:rsid w:val="667473F9"/>
    <w:rsid w:val="66CD2666"/>
    <w:rsid w:val="66E93D7D"/>
    <w:rsid w:val="675A7F3E"/>
    <w:rsid w:val="69877565"/>
    <w:rsid w:val="6C6A2BEA"/>
    <w:rsid w:val="6D2C27DC"/>
    <w:rsid w:val="6EA36ACE"/>
    <w:rsid w:val="72C74980"/>
    <w:rsid w:val="77091498"/>
    <w:rsid w:val="797846B3"/>
    <w:rsid w:val="7B6541AF"/>
    <w:rsid w:val="7CB63E70"/>
    <w:rsid w:val="7E8E1CB6"/>
    <w:rsid w:val="7E973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4"/>
      <w:szCs w:val="24"/>
      <w:lang w:val="en-US" w:eastAsia="en-US" w:bidi="ar-SA"/>
    </w:rPr>
  </w:style>
  <w:style w:type="paragraph" w:styleId="3">
    <w:name w:val="Subtitle"/>
    <w:basedOn w:val="1"/>
    <w:next w:val="1"/>
    <w:qFormat/>
    <w:uiPriority w:val="11"/>
    <w:pPr>
      <w:spacing w:line="360" w:lineRule="auto"/>
      <w:outlineLvl w:val="1"/>
    </w:pPr>
    <w:rPr>
      <w:rFonts w:ascii="Cambria" w:hAnsi="Cambria" w:eastAsia="黑体" w:cs="Times New Roman"/>
      <w:bCs/>
      <w:kern w:val="28"/>
      <w:sz w:val="24"/>
      <w:szCs w:val="32"/>
    </w:rPr>
  </w:style>
  <w:style w:type="paragraph" w:styleId="4">
    <w:name w:val="Body Text Indent"/>
    <w:basedOn w:val="1"/>
    <w:qFormat/>
    <w:uiPriority w:val="99"/>
    <w:pPr>
      <w:spacing w:line="360" w:lineRule="auto"/>
      <w:ind w:right="10" w:firstLine="480"/>
    </w:pPr>
    <w:rPr>
      <w:rFonts w:ascii="宋体" w:cs="宋体"/>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99"/>
    <w:pPr>
      <w:widowControl/>
      <w:spacing w:after="120" w:line="276" w:lineRule="auto"/>
      <w:ind w:left="200" w:leftChars="200" w:firstLine="420" w:firstLineChars="200"/>
      <w:jc w:val="left"/>
    </w:pPr>
    <w:rPr>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Body text|1"/>
    <w:basedOn w:val="1"/>
    <w:qFormat/>
    <w:uiPriority w:val="0"/>
    <w:pPr>
      <w:spacing w:line="458" w:lineRule="auto"/>
      <w:ind w:firstLine="400" w:firstLineChars="0"/>
      <w:jc w:val="left"/>
    </w:pPr>
    <w:rPr>
      <w:rFonts w:hAnsi="宋体" w:cs="宋体"/>
      <w:kern w:val="0"/>
      <w:sz w:val="20"/>
      <w:szCs w:val="20"/>
      <w:lang w:val="zh-TW" w:eastAsia="zh-TW" w:bidi="zh-TW"/>
    </w:rPr>
  </w:style>
  <w:style w:type="paragraph" w:customStyle="1" w:styleId="15">
    <w:name w:val="Header or footer|1"/>
    <w:basedOn w:val="1"/>
    <w:qFormat/>
    <w:uiPriority w:val="0"/>
    <w:rPr>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8158</Words>
  <Characters>8621</Characters>
  <TotalTime>4</TotalTime>
  <ScaleCrop>false</ScaleCrop>
  <LinksUpToDate>false</LinksUpToDate>
  <CharactersWithSpaces>8886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2023-07-25T02:48:00Z</dcterms:created>
  <dc:creator>Administrator</dc:creator>
  <cp:lastModifiedBy>黄小玉</cp:lastModifiedBy>
  <dcterms:modified xsi:type="dcterms:W3CDTF">2023-08-11T01:13:52Z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2023-07-25T11:20:00Z</vt:filetime>
  </property>
  <property fmtid="{D5CDD505-2E9C-101B-9397-08002B2CF9AE}" pid="4" name="KSOProductBuildVer">
    <vt:lpwstr>2052-11.1.0.14309</vt:lpwstr>
  </property>
  <property fmtid="{D5CDD505-2E9C-101B-9397-08002B2CF9AE}" pid="5" name="ICV">
    <vt:lpwstr>D29770B63BB44ACD809C7C8D98A30A9A_13</vt:lpwstr>
  </property>
</Properties>
</file>