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imes New Roman"/>
          <w:b w:val="0"/>
          <w:bCs w:val="0"/>
          <w:sz w:val="32"/>
          <w:szCs w:val="32"/>
        </w:rPr>
      </w:pPr>
      <w:r>
        <w:rPr>
          <w:rFonts w:hint="eastAsia" w:ascii="仿宋" w:hAnsi="仿宋" w:eastAsia="仿宋" w:cs="仿宋"/>
          <w:b w:val="0"/>
          <w:bCs w:val="0"/>
          <w:sz w:val="32"/>
          <w:szCs w:val="32"/>
        </w:rPr>
        <w:t>附件</w:t>
      </w:r>
      <w:r>
        <w:rPr>
          <w:rFonts w:ascii="仿宋" w:hAnsi="仿宋" w:eastAsia="仿宋" w:cs="仿宋"/>
          <w:b w:val="0"/>
          <w:bCs w:val="0"/>
          <w:sz w:val="32"/>
          <w:szCs w:val="32"/>
        </w:rPr>
        <w:t>2</w:t>
      </w:r>
      <w:r>
        <w:rPr>
          <w:rFonts w:hint="eastAsia" w:ascii="仿宋" w:hAnsi="仿宋" w:eastAsia="仿宋" w:cs="仿宋"/>
          <w:b w:val="0"/>
          <w:bCs w:val="0"/>
          <w:sz w:val="32"/>
          <w:szCs w:val="32"/>
        </w:rPr>
        <w:t>：</w:t>
      </w:r>
    </w:p>
    <w:p>
      <w:pPr>
        <w:jc w:val="center"/>
        <w:rPr>
          <w:rFonts w:cs="Times New Roman"/>
        </w:rPr>
      </w:pPr>
      <w:r>
        <w:rPr>
          <w:rFonts w:hint="eastAsia"/>
        </w:rPr>
        <w:t>资格审查与评审标准</w:t>
      </w:r>
    </w:p>
    <w:p>
      <w:pPr>
        <w:rPr>
          <w:rFonts w:cs="Times New Roman"/>
        </w:rPr>
      </w:pPr>
      <w:r>
        <w:rPr>
          <w:rFonts w:hint="eastAsia"/>
        </w:rPr>
        <w:t>一、评审小组</w:t>
      </w:r>
    </w:p>
    <w:p>
      <w:pPr>
        <w:ind w:firstLine="560" w:firstLineChars="200"/>
        <w:rPr>
          <w:rFonts w:cs="Times New Roman"/>
          <w:b w:val="0"/>
          <w:bCs w:val="0"/>
        </w:rPr>
      </w:pPr>
      <w:r>
        <w:rPr>
          <w:rFonts w:hint="eastAsia"/>
          <w:b w:val="0"/>
          <w:bCs w:val="0"/>
        </w:rPr>
        <w:t>评审小组由</w:t>
      </w:r>
      <w:r>
        <w:rPr>
          <w:b w:val="0"/>
          <w:bCs w:val="0"/>
        </w:rPr>
        <w:t>3</w:t>
      </w:r>
      <w:r>
        <w:rPr>
          <w:rFonts w:hint="eastAsia"/>
          <w:b w:val="0"/>
          <w:bCs w:val="0"/>
        </w:rPr>
        <w:t>人组成，并负责审核供应商资格和对具体方案审查，其中由采购人派出的采购人代表</w:t>
      </w:r>
      <w:r>
        <w:rPr>
          <w:b w:val="0"/>
          <w:bCs w:val="0"/>
        </w:rPr>
        <w:t>1</w:t>
      </w:r>
      <w:r>
        <w:rPr>
          <w:rFonts w:hint="eastAsia"/>
          <w:b w:val="0"/>
          <w:bCs w:val="0"/>
        </w:rPr>
        <w:t>人，其余</w:t>
      </w:r>
      <w:r>
        <w:rPr>
          <w:b w:val="0"/>
          <w:bCs w:val="0"/>
        </w:rPr>
        <w:t>2</w:t>
      </w:r>
      <w:r>
        <w:rPr>
          <w:rFonts w:hint="eastAsia"/>
          <w:b w:val="0"/>
          <w:bCs w:val="0"/>
        </w:rPr>
        <w:t>人为随机抽取的评审专家。</w:t>
      </w:r>
    </w:p>
    <w:p>
      <w:pPr>
        <w:rPr>
          <w:rFonts w:cs="Times New Roman"/>
        </w:rPr>
      </w:pPr>
      <w:r>
        <w:rPr>
          <w:rFonts w:hint="eastAsia"/>
        </w:rPr>
        <w:t>二、资格审查</w:t>
      </w:r>
    </w:p>
    <w:p>
      <w:pPr>
        <w:rPr>
          <w:rFonts w:cs="Times New Roman"/>
          <w:b w:val="0"/>
          <w:bCs w:val="0"/>
        </w:rPr>
      </w:pPr>
      <w:r>
        <w:rPr>
          <w:b w:val="0"/>
          <w:bCs w:val="0"/>
        </w:rPr>
        <w:t>1.</w:t>
      </w:r>
      <w:r>
        <w:rPr>
          <w:rFonts w:hint="eastAsia"/>
          <w:b w:val="0"/>
          <w:bCs w:val="0"/>
        </w:rPr>
        <w:t>资格审查的范围及内容</w:t>
      </w:r>
    </w:p>
    <w:tbl>
      <w:tblPr>
        <w:tblStyle w:val="8"/>
        <w:tblW w:w="0" w:type="auto"/>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008"/>
        <w:gridCol w:w="1800"/>
        <w:gridCol w:w="55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08" w:type="dxa"/>
          </w:tcPr>
          <w:p>
            <w:pPr>
              <w:rPr>
                <w:rFonts w:cs="Times New Roman"/>
                <w:b w:val="0"/>
                <w:bCs w:val="0"/>
              </w:rPr>
            </w:pPr>
            <w:r>
              <w:rPr>
                <w:rFonts w:hint="eastAsia"/>
                <w:b w:val="0"/>
                <w:bCs w:val="0"/>
              </w:rPr>
              <w:t>序号</w:t>
            </w:r>
          </w:p>
        </w:tc>
        <w:tc>
          <w:tcPr>
            <w:tcW w:w="1800" w:type="dxa"/>
          </w:tcPr>
          <w:p>
            <w:pPr>
              <w:rPr>
                <w:rFonts w:cs="Times New Roman"/>
                <w:b w:val="0"/>
                <w:bCs w:val="0"/>
              </w:rPr>
            </w:pPr>
            <w:r>
              <w:rPr>
                <w:rFonts w:hint="eastAsia"/>
                <w:b w:val="0"/>
                <w:bCs w:val="0"/>
              </w:rPr>
              <w:t>资格审查要求概况</w:t>
            </w:r>
          </w:p>
        </w:tc>
        <w:tc>
          <w:tcPr>
            <w:tcW w:w="5580" w:type="dxa"/>
          </w:tcPr>
          <w:p>
            <w:pPr>
              <w:rPr>
                <w:rFonts w:cs="Times New Roman"/>
                <w:b w:val="0"/>
                <w:bCs w:val="0"/>
              </w:rPr>
            </w:pPr>
            <w:r>
              <w:rPr>
                <w:rFonts w:hint="eastAsia"/>
                <w:b w:val="0"/>
                <w:bCs w:val="0"/>
              </w:rPr>
              <w:t>评审点具体描述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08" w:type="dxa"/>
          </w:tcPr>
          <w:p>
            <w:pPr>
              <w:jc w:val="center"/>
              <w:rPr>
                <w:rFonts w:cs="Times New Roman"/>
                <w:b w:val="0"/>
                <w:bCs w:val="0"/>
              </w:rPr>
            </w:pPr>
            <w:r>
              <w:rPr>
                <w:b w:val="0"/>
                <w:bCs w:val="0"/>
              </w:rPr>
              <w:t>1</w:t>
            </w:r>
          </w:p>
        </w:tc>
        <w:tc>
          <w:tcPr>
            <w:tcW w:w="1800" w:type="dxa"/>
          </w:tcPr>
          <w:p>
            <w:pPr>
              <w:jc w:val="center"/>
              <w:rPr>
                <w:rFonts w:cs="Times New Roman"/>
                <w:b w:val="0"/>
                <w:bCs w:val="0"/>
              </w:rPr>
            </w:pPr>
            <w:r>
              <w:rPr>
                <w:rFonts w:hint="eastAsia"/>
                <w:b w:val="0"/>
                <w:bCs w:val="0"/>
              </w:rPr>
              <w:t>申请书</w:t>
            </w:r>
          </w:p>
        </w:tc>
        <w:tc>
          <w:tcPr>
            <w:tcW w:w="5580" w:type="dxa"/>
          </w:tcPr>
          <w:p>
            <w:pPr>
              <w:rPr>
                <w:rFonts w:cs="Times New Roman"/>
                <w:b w:val="0"/>
                <w:bCs w:val="0"/>
              </w:rPr>
            </w:pPr>
            <w:r>
              <w:rPr>
                <w:rFonts w:hint="eastAsia"/>
                <w:b w:val="0"/>
                <w:bCs w:val="0"/>
              </w:rPr>
              <w:t>按附件</w:t>
            </w:r>
            <w:r>
              <w:rPr>
                <w:b w:val="0"/>
                <w:bCs w:val="0"/>
              </w:rPr>
              <w:t>1</w:t>
            </w:r>
            <w:r>
              <w:rPr>
                <w:rFonts w:hint="eastAsia"/>
                <w:b w:val="0"/>
                <w:bCs w:val="0"/>
              </w:rPr>
              <w:t>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08" w:type="dxa"/>
          </w:tcPr>
          <w:p>
            <w:pPr>
              <w:jc w:val="center"/>
              <w:rPr>
                <w:b w:val="0"/>
                <w:bCs w:val="0"/>
              </w:rPr>
            </w:pPr>
            <w:r>
              <w:rPr>
                <w:b w:val="0"/>
                <w:bCs w:val="0"/>
              </w:rPr>
              <w:t>2</w:t>
            </w:r>
          </w:p>
        </w:tc>
        <w:tc>
          <w:tcPr>
            <w:tcW w:w="1800" w:type="dxa"/>
          </w:tcPr>
          <w:p>
            <w:pPr>
              <w:jc w:val="center"/>
              <w:rPr>
                <w:rFonts w:cs="Times New Roman"/>
                <w:b w:val="0"/>
                <w:bCs w:val="0"/>
              </w:rPr>
            </w:pPr>
            <w:r>
              <w:rPr>
                <w:rFonts w:hint="eastAsia"/>
                <w:b w:val="0"/>
                <w:bCs w:val="0"/>
              </w:rPr>
              <w:t>营业执照</w:t>
            </w:r>
          </w:p>
        </w:tc>
        <w:tc>
          <w:tcPr>
            <w:tcW w:w="5580" w:type="dxa"/>
          </w:tcPr>
          <w:p>
            <w:pPr>
              <w:rPr>
                <w:rFonts w:cs="Times New Roman"/>
                <w:b w:val="0"/>
                <w:bCs w:val="0"/>
              </w:rPr>
            </w:pPr>
            <w:r>
              <w:rPr>
                <w:rFonts w:hint="eastAsia"/>
                <w:b w:val="0"/>
                <w:bCs w:val="0"/>
              </w:rPr>
              <w:t>提供有效的企业法人营业执照复印件。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08" w:type="dxa"/>
            <w:vAlign w:val="center"/>
          </w:tcPr>
          <w:p>
            <w:pPr>
              <w:jc w:val="center"/>
              <w:rPr>
                <w:rFonts w:cs="Times New Roman"/>
                <w:b w:val="0"/>
                <w:bCs w:val="0"/>
              </w:rPr>
            </w:pPr>
            <w:r>
              <w:rPr>
                <w:b w:val="0"/>
                <w:bCs w:val="0"/>
              </w:rPr>
              <w:t>3</w:t>
            </w:r>
          </w:p>
        </w:tc>
        <w:tc>
          <w:tcPr>
            <w:tcW w:w="1800" w:type="dxa"/>
            <w:vAlign w:val="center"/>
          </w:tcPr>
          <w:p>
            <w:pPr>
              <w:jc w:val="center"/>
              <w:rPr>
                <w:rFonts w:cs="Times New Roman"/>
                <w:b w:val="0"/>
                <w:bCs w:val="0"/>
              </w:rPr>
            </w:pPr>
            <w:r>
              <w:rPr>
                <w:rFonts w:hint="eastAsia"/>
                <w:b w:val="0"/>
                <w:bCs w:val="0"/>
              </w:rPr>
              <w:t>单位负责人授权书</w:t>
            </w:r>
          </w:p>
        </w:tc>
        <w:tc>
          <w:tcPr>
            <w:tcW w:w="5580" w:type="dxa"/>
          </w:tcPr>
          <w:p>
            <w:pPr>
              <w:rPr>
                <w:rFonts w:cs="Times New Roman"/>
                <w:b w:val="0"/>
                <w:bCs w:val="0"/>
              </w:rPr>
            </w:pPr>
            <w:r>
              <w:rPr>
                <w:rFonts w:hint="eastAsia"/>
                <w:b w:val="0"/>
                <w:bCs w:val="0"/>
              </w:rPr>
              <w:t>若被授权人为单位授权的委托代理人，应提供本授权书（含授权人和被授权人身份证复印件）；若被授权人为单位负责人，应在此项下提交其身份证正反面复印件，可不提供本授权书。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08" w:type="dxa"/>
            <w:vAlign w:val="center"/>
          </w:tcPr>
          <w:p>
            <w:pPr>
              <w:jc w:val="center"/>
              <w:rPr>
                <w:b w:val="0"/>
                <w:bCs w:val="0"/>
              </w:rPr>
            </w:pPr>
            <w:r>
              <w:rPr>
                <w:b w:val="0"/>
                <w:bCs w:val="0"/>
              </w:rPr>
              <w:t>4</w:t>
            </w:r>
          </w:p>
        </w:tc>
        <w:tc>
          <w:tcPr>
            <w:tcW w:w="1800" w:type="dxa"/>
            <w:vAlign w:val="center"/>
          </w:tcPr>
          <w:p>
            <w:pPr>
              <w:rPr>
                <w:rFonts w:cs="Times New Roman"/>
                <w:b w:val="0"/>
                <w:bCs w:val="0"/>
              </w:rPr>
            </w:pPr>
            <w:r>
              <w:rPr>
                <w:rFonts w:hint="eastAsia"/>
                <w:b w:val="0"/>
                <w:bCs w:val="0"/>
              </w:rPr>
              <w:t>提供财务状况报告</w:t>
            </w:r>
            <w:r>
              <w:rPr>
                <w:b w:val="0"/>
                <w:bCs w:val="0"/>
              </w:rPr>
              <w:t>(</w:t>
            </w:r>
            <w:r>
              <w:rPr>
                <w:rFonts w:hint="eastAsia"/>
                <w:b w:val="0"/>
                <w:bCs w:val="0"/>
              </w:rPr>
              <w:t>财务报告或资信证明）</w:t>
            </w:r>
          </w:p>
        </w:tc>
        <w:tc>
          <w:tcPr>
            <w:tcW w:w="5580" w:type="dxa"/>
          </w:tcPr>
          <w:p>
            <w:pPr>
              <w:rPr>
                <w:rFonts w:cs="Times New Roman"/>
                <w:b w:val="0"/>
                <w:bCs w:val="0"/>
              </w:rPr>
            </w:pPr>
            <w:r>
              <w:rPr>
                <w:rFonts w:hint="eastAsia"/>
                <w:b w:val="0"/>
                <w:bCs w:val="0"/>
              </w:rPr>
              <w:t>提供的财务报告复印件（成立年限按照递交申请材料截止时间推算）应符合下列规定：成立年限满</w:t>
            </w:r>
            <w:r>
              <w:rPr>
                <w:b w:val="0"/>
                <w:bCs w:val="0"/>
              </w:rPr>
              <w:t>1</w:t>
            </w:r>
            <w:r>
              <w:rPr>
                <w:rFonts w:hint="eastAsia"/>
                <w:b w:val="0"/>
                <w:bCs w:val="0"/>
              </w:rPr>
              <w:t>年及以上的供应商，提供经审计的</w:t>
            </w:r>
            <w:r>
              <w:rPr>
                <w:b w:val="0"/>
                <w:bCs w:val="0"/>
              </w:rPr>
              <w:t>2022</w:t>
            </w:r>
            <w:r>
              <w:rPr>
                <w:rFonts w:hint="eastAsia"/>
                <w:b w:val="0"/>
                <w:bCs w:val="0"/>
              </w:rPr>
              <w:t>年度或</w:t>
            </w:r>
            <w:r>
              <w:rPr>
                <w:b w:val="0"/>
                <w:bCs w:val="0"/>
              </w:rPr>
              <w:t>2023</w:t>
            </w:r>
            <w:r>
              <w:rPr>
                <w:rFonts w:hint="eastAsia"/>
                <w:b w:val="0"/>
                <w:bCs w:val="0"/>
              </w:rPr>
              <w:t>年度的财务报告。无法提供财务报告复印件的供应商（包括但不限于：成立年限满</w:t>
            </w:r>
            <w:r>
              <w:rPr>
                <w:b w:val="0"/>
                <w:bCs w:val="0"/>
              </w:rPr>
              <w:t>1</w:t>
            </w:r>
            <w:r>
              <w:rPr>
                <w:rFonts w:hint="eastAsia"/>
                <w:b w:val="0"/>
                <w:bCs w:val="0"/>
              </w:rPr>
              <w:t>年及以上的供应商、成立年限满半年但不足</w:t>
            </w:r>
            <w:r>
              <w:rPr>
                <w:b w:val="0"/>
                <w:bCs w:val="0"/>
              </w:rPr>
              <w:t>1</w:t>
            </w:r>
            <w:r>
              <w:rPr>
                <w:rFonts w:hint="eastAsia"/>
                <w:b w:val="0"/>
                <w:bCs w:val="0"/>
              </w:rPr>
              <w:t>年的供应商、成立年限不足半年的供应商），应提供银行出具的资信证明复印件。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08" w:type="dxa"/>
            <w:vAlign w:val="center"/>
          </w:tcPr>
          <w:p>
            <w:pPr>
              <w:jc w:val="center"/>
              <w:rPr>
                <w:b w:val="0"/>
                <w:bCs w:val="0"/>
              </w:rPr>
            </w:pPr>
            <w:r>
              <w:rPr>
                <w:b w:val="0"/>
                <w:bCs w:val="0"/>
              </w:rPr>
              <w:t>5</w:t>
            </w:r>
          </w:p>
        </w:tc>
        <w:tc>
          <w:tcPr>
            <w:tcW w:w="1800" w:type="dxa"/>
            <w:vAlign w:val="center"/>
          </w:tcPr>
          <w:p>
            <w:pPr>
              <w:rPr>
                <w:rFonts w:cs="Times New Roman"/>
                <w:b w:val="0"/>
                <w:bCs w:val="0"/>
              </w:rPr>
            </w:pPr>
            <w:r>
              <w:rPr>
                <w:rFonts w:hint="eastAsia"/>
                <w:b w:val="0"/>
                <w:bCs w:val="0"/>
              </w:rPr>
              <w:t>具备履行合同所必需设备和专业技术能力的声明函</w:t>
            </w:r>
          </w:p>
        </w:tc>
        <w:tc>
          <w:tcPr>
            <w:tcW w:w="5580" w:type="dxa"/>
            <w:vAlign w:val="center"/>
          </w:tcPr>
          <w:p>
            <w:pPr>
              <w:rPr>
                <w:rFonts w:cs="Times New Roman"/>
                <w:b w:val="0"/>
                <w:bCs w:val="0"/>
              </w:rPr>
            </w:pPr>
            <w:r>
              <w:rPr>
                <w:rFonts w:hint="eastAsia"/>
                <w:b w:val="0"/>
                <w:bCs w:val="0"/>
              </w:rPr>
              <w:t>提供具备履行合同所必需设备和专业技术能力的声明函。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08" w:type="dxa"/>
            <w:vAlign w:val="center"/>
          </w:tcPr>
          <w:p>
            <w:pPr>
              <w:jc w:val="center"/>
              <w:rPr>
                <w:b w:val="0"/>
                <w:bCs w:val="0"/>
              </w:rPr>
            </w:pPr>
            <w:r>
              <w:rPr>
                <w:b w:val="0"/>
                <w:bCs w:val="0"/>
              </w:rPr>
              <w:t>6</w:t>
            </w:r>
          </w:p>
        </w:tc>
        <w:tc>
          <w:tcPr>
            <w:tcW w:w="1800" w:type="dxa"/>
            <w:vAlign w:val="center"/>
          </w:tcPr>
          <w:p>
            <w:pPr>
              <w:rPr>
                <w:rFonts w:cs="Times New Roman"/>
                <w:b w:val="0"/>
                <w:bCs w:val="0"/>
              </w:rPr>
            </w:pPr>
            <w:r>
              <w:rPr>
                <w:rFonts w:hint="eastAsia"/>
                <w:b w:val="0"/>
                <w:bCs w:val="0"/>
              </w:rPr>
              <w:t>依法缴纳税收证明材料</w:t>
            </w:r>
          </w:p>
        </w:tc>
        <w:tc>
          <w:tcPr>
            <w:tcW w:w="5580" w:type="dxa"/>
          </w:tcPr>
          <w:p>
            <w:pPr>
              <w:rPr>
                <w:rFonts w:cs="Times New Roman"/>
                <w:b w:val="0"/>
                <w:bCs w:val="0"/>
                <w:highlight w:val="yellow"/>
              </w:rPr>
            </w:pPr>
            <w:r>
              <w:rPr>
                <w:rFonts w:hint="eastAsia"/>
                <w:b w:val="0"/>
                <w:bCs w:val="0"/>
              </w:rPr>
              <w:t>递交申请材料截止时间前（不含递交申请材料截止时间的当月）已依法缴纳税收的供应商，提供递交材料截止时间前六个月（不含递交申请材料截止时间的当月）中任一月份的税收凭据复印件。递交申请材料截止时间的当月成立且已依法缴纳税收的供应商，提供递交申请材料截止时间当月的税收凭据复印件。递交申请材料截止时间的当月成立但因税务机关原因导致其尚未依法缴纳税收的供应商，提供依法缴纳税收承诺书原件（格式自拟），该承诺书视同税收凭据。“依法缴纳税收证明材料”有欠缴记录的，视为未依法缴纳税收。供应商提供的相应证明材料复印件均应符合：内容完整、清晰、整洁，并由响应人加盖其单位公章。依法免税的供应商，应提供证明其免税的相应文件。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08" w:type="dxa"/>
            <w:vAlign w:val="center"/>
          </w:tcPr>
          <w:p>
            <w:pPr>
              <w:jc w:val="center"/>
              <w:rPr>
                <w:b w:val="0"/>
                <w:bCs w:val="0"/>
              </w:rPr>
            </w:pPr>
            <w:r>
              <w:rPr>
                <w:b w:val="0"/>
                <w:bCs w:val="0"/>
              </w:rPr>
              <w:t>7</w:t>
            </w:r>
          </w:p>
        </w:tc>
        <w:tc>
          <w:tcPr>
            <w:tcW w:w="1800" w:type="dxa"/>
            <w:vAlign w:val="center"/>
          </w:tcPr>
          <w:p>
            <w:pPr>
              <w:rPr>
                <w:rFonts w:cs="Times New Roman"/>
                <w:b w:val="0"/>
                <w:bCs w:val="0"/>
              </w:rPr>
            </w:pPr>
            <w:r>
              <w:rPr>
                <w:rFonts w:hint="eastAsia"/>
                <w:b w:val="0"/>
                <w:bCs w:val="0"/>
              </w:rPr>
              <w:t>社会保障资金证明材料</w:t>
            </w:r>
          </w:p>
        </w:tc>
        <w:tc>
          <w:tcPr>
            <w:tcW w:w="5580" w:type="dxa"/>
          </w:tcPr>
          <w:p>
            <w:pPr>
              <w:rPr>
                <w:rFonts w:cs="Times New Roman"/>
                <w:b w:val="0"/>
                <w:bCs w:val="0"/>
                <w:highlight w:val="yellow"/>
              </w:rPr>
            </w:pPr>
            <w:r>
              <w:rPr>
                <w:rFonts w:hint="eastAsia"/>
                <w:b w:val="0"/>
                <w:bCs w:val="0"/>
              </w:rPr>
              <w:t>递交申请材料截止时间前（不含递交材料截止时间的当月）已依法缴纳社会保障资金的供应商，提供递交申请材料截止时间前六个月（不含递交申请材料截止时间的当月）中任一月份的社会保险凭据复印件。递交申请材料截止时间的当月成立且已依法缴纳社会保障资金的供应商，提供递交申请材料截止时间当月的社会保险凭据复印件。递交申请材料截止时间的当月成立但因税务机关</w:t>
            </w:r>
            <w:r>
              <w:rPr>
                <w:b w:val="0"/>
                <w:bCs w:val="0"/>
              </w:rPr>
              <w:t>/</w:t>
            </w:r>
            <w:r>
              <w:rPr>
                <w:rFonts w:hint="eastAsia"/>
                <w:b w:val="0"/>
                <w:bCs w:val="0"/>
              </w:rPr>
              <w:t>社会保障资金管理机关原因导致其尚未依法缴纳社会保障资金的供应商，提供依法缴纳社会保障资金承诺书原件（格式自拟），该承诺书视同社会保险凭据。“依法缴纳社会保障资金证明材料”有欠缴记录的，视为未依法缴纳社会保障资金。依法不需要缴纳社会保障资金的供应商，应提供证明其不需要缴纳社会保障资金的相应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08" w:type="dxa"/>
            <w:vAlign w:val="center"/>
          </w:tcPr>
          <w:p>
            <w:pPr>
              <w:jc w:val="center"/>
              <w:rPr>
                <w:b w:val="0"/>
                <w:bCs w:val="0"/>
              </w:rPr>
            </w:pPr>
            <w:r>
              <w:rPr>
                <w:b w:val="0"/>
                <w:bCs w:val="0"/>
              </w:rPr>
              <w:t>8</w:t>
            </w:r>
          </w:p>
        </w:tc>
        <w:tc>
          <w:tcPr>
            <w:tcW w:w="1800" w:type="dxa"/>
            <w:vAlign w:val="center"/>
          </w:tcPr>
          <w:p>
            <w:pPr>
              <w:rPr>
                <w:rFonts w:cs="Times New Roman"/>
                <w:b w:val="0"/>
                <w:bCs w:val="0"/>
              </w:rPr>
            </w:pPr>
            <w:r>
              <w:rPr>
                <w:rFonts w:hint="eastAsia"/>
                <w:b w:val="0"/>
                <w:bCs w:val="0"/>
              </w:rPr>
              <w:t>参加本次活动前三年内在经营活动中没有重大违法记录的承诺函</w:t>
            </w:r>
          </w:p>
        </w:tc>
        <w:tc>
          <w:tcPr>
            <w:tcW w:w="5580" w:type="dxa"/>
          </w:tcPr>
          <w:p>
            <w:pPr>
              <w:rPr>
                <w:rFonts w:cs="Times New Roman"/>
                <w:b w:val="0"/>
                <w:bCs w:val="0"/>
              </w:rPr>
            </w:pPr>
            <w:r>
              <w:rPr>
                <w:rFonts w:hint="eastAsia"/>
                <w:b w:val="0"/>
                <w:bCs w:val="0"/>
              </w:rPr>
              <w:t>重大违法记录：指供应商因违法经营受到刑事处罚或责令停产停业、吊销许可证或执照、较大数额罚款等行政处罚。根据财库〔</w:t>
            </w:r>
            <w:r>
              <w:rPr>
                <w:b w:val="0"/>
                <w:bCs w:val="0"/>
              </w:rPr>
              <w:t>2022</w:t>
            </w:r>
            <w:r>
              <w:rPr>
                <w:rFonts w:hint="eastAsia"/>
                <w:b w:val="0"/>
                <w:bCs w:val="0"/>
              </w:rPr>
              <w:t>〕</w:t>
            </w:r>
            <w:r>
              <w:rPr>
                <w:b w:val="0"/>
                <w:bCs w:val="0"/>
              </w:rPr>
              <w:t>3</w:t>
            </w:r>
            <w:r>
              <w:rPr>
                <w:rFonts w:hint="eastAsia"/>
                <w:b w:val="0"/>
                <w:bCs w:val="0"/>
              </w:rPr>
              <w:t>号文件的规定，“较大数额罚款”认定为</w:t>
            </w:r>
            <w:r>
              <w:rPr>
                <w:b w:val="0"/>
                <w:bCs w:val="0"/>
              </w:rPr>
              <w:t>200</w:t>
            </w:r>
            <w:r>
              <w:rPr>
                <w:rFonts w:hint="eastAsia"/>
                <w:b w:val="0"/>
                <w:bCs w:val="0"/>
              </w:rPr>
              <w:t>万元以上的罚款，法律、行政法规以及国务院有关部门明确规定相关领域“较大数额罚款”标准高于</w:t>
            </w:r>
            <w:r>
              <w:rPr>
                <w:b w:val="0"/>
                <w:bCs w:val="0"/>
              </w:rPr>
              <w:t>200</w:t>
            </w:r>
            <w:r>
              <w:rPr>
                <w:rFonts w:hint="eastAsia"/>
                <w:b w:val="0"/>
                <w:bCs w:val="0"/>
              </w:rPr>
              <w:t>万元的，从其规定。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08" w:type="dxa"/>
            <w:vAlign w:val="center"/>
          </w:tcPr>
          <w:p>
            <w:pPr>
              <w:jc w:val="center"/>
              <w:rPr>
                <w:b w:val="0"/>
                <w:bCs w:val="0"/>
              </w:rPr>
            </w:pPr>
            <w:r>
              <w:rPr>
                <w:b w:val="0"/>
                <w:bCs w:val="0"/>
              </w:rPr>
              <w:t>9</w:t>
            </w:r>
          </w:p>
        </w:tc>
        <w:tc>
          <w:tcPr>
            <w:tcW w:w="1800" w:type="dxa"/>
            <w:vAlign w:val="center"/>
          </w:tcPr>
          <w:p>
            <w:pPr>
              <w:rPr>
                <w:rFonts w:cs="Times New Roman"/>
                <w:b w:val="0"/>
                <w:bCs w:val="0"/>
              </w:rPr>
            </w:pPr>
            <w:r>
              <w:rPr>
                <w:rFonts w:hint="eastAsia"/>
                <w:b w:val="0"/>
                <w:bCs w:val="0"/>
              </w:rPr>
              <w:t>信用记录查询结果</w:t>
            </w:r>
          </w:p>
        </w:tc>
        <w:tc>
          <w:tcPr>
            <w:tcW w:w="5580" w:type="dxa"/>
          </w:tcPr>
          <w:p>
            <w:pPr>
              <w:rPr>
                <w:rFonts w:cs="Times New Roman"/>
                <w:b w:val="0"/>
                <w:bCs w:val="0"/>
              </w:rPr>
            </w:pPr>
            <w:r>
              <w:rPr>
                <w:rFonts w:hint="eastAsia"/>
                <w:b w:val="0"/>
                <w:bCs w:val="0"/>
              </w:rPr>
              <w:t>未被“信用中国”</w:t>
            </w:r>
            <w:r>
              <w:rPr>
                <w:rFonts w:hint="eastAsia"/>
                <w:b w:val="0"/>
                <w:bCs w:val="0"/>
                <w:spacing w:val="-20"/>
              </w:rPr>
              <w:t>（</w:t>
            </w:r>
            <w:r>
              <w:rPr>
                <w:spacing w:val="-20"/>
              </w:rPr>
              <w:fldChar w:fldCharType="begin"/>
            </w:r>
            <w:r>
              <w:rPr>
                <w:spacing w:val="-20"/>
              </w:rPr>
              <w:instrText xml:space="preserve"> HYPERLINK "http://www.creditchina.gov.cn/" </w:instrText>
            </w:r>
            <w:r>
              <w:rPr>
                <w:spacing w:val="-20"/>
              </w:rPr>
              <w:fldChar w:fldCharType="separate"/>
            </w:r>
            <w:r>
              <w:rPr>
                <w:rStyle w:val="11"/>
                <w:b w:val="0"/>
                <w:bCs w:val="0"/>
                <w:spacing w:val="-20"/>
              </w:rPr>
              <w:t>www.creditchina.gov.cn</w:t>
            </w:r>
            <w:r>
              <w:rPr>
                <w:spacing w:val="-20"/>
              </w:rPr>
              <w:fldChar w:fldCharType="end"/>
            </w:r>
            <w:r>
              <w:rPr>
                <w:rFonts w:hint="eastAsia"/>
                <w:b w:val="0"/>
                <w:bCs w:val="0"/>
                <w:spacing w:val="-20"/>
              </w:rPr>
              <w:t>）、</w:t>
            </w:r>
            <w:r>
              <w:rPr>
                <w:rFonts w:hint="eastAsia"/>
                <w:b w:val="0"/>
                <w:bCs w:val="0"/>
              </w:rPr>
              <w:t>中国政府采购网（</w:t>
            </w:r>
            <w:r>
              <w:rPr>
                <w:b w:val="0"/>
                <w:bCs w:val="0"/>
              </w:rPr>
              <w:t>www.ccgp.gov.cn</w:t>
            </w:r>
            <w:r>
              <w:rPr>
                <w:rFonts w:hint="eastAsia"/>
                <w:b w:val="0"/>
                <w:bCs w:val="0"/>
              </w:rPr>
              <w:t>）列入失信被执行人、重大税收违法案件当事人名单、政府采购严重违法失信行为记录名单，提供公告发布之日起的查询记录。</w:t>
            </w:r>
          </w:p>
          <w:p>
            <w:pPr>
              <w:rPr>
                <w:rFonts w:cs="Times New Roman"/>
                <w:b w:val="0"/>
                <w:bCs w:val="0"/>
              </w:rPr>
            </w:pPr>
            <w:r>
              <w:rPr>
                <w:rFonts w:hint="eastAsia"/>
                <w:b w:val="0"/>
                <w:bCs w:val="0"/>
              </w:rPr>
              <w:t>评审时，评审小组通过上述网站查询并打印供应商的信用记录。</w:t>
            </w:r>
            <w:r>
              <w:rPr>
                <w:b w:val="0"/>
                <w:bCs w:val="0"/>
              </w:rPr>
              <w:t xml:space="preserve"> </w:t>
            </w:r>
            <w:r>
              <w:rPr>
                <w:rFonts w:hint="eastAsia"/>
                <w:b w:val="0"/>
                <w:bCs w:val="0"/>
              </w:rPr>
              <w:t>经查询，供应商参加本项目采购活动</w:t>
            </w:r>
            <w:r>
              <w:rPr>
                <w:b w:val="0"/>
                <w:bCs w:val="0"/>
              </w:rPr>
              <w:t>(</w:t>
            </w:r>
            <w:r>
              <w:rPr>
                <w:rFonts w:hint="eastAsia"/>
                <w:b w:val="0"/>
                <w:bCs w:val="0"/>
              </w:rPr>
              <w:t>递交申请材料截止时间止</w:t>
            </w:r>
            <w:r>
              <w:rPr>
                <w:b w:val="0"/>
                <w:bCs w:val="0"/>
              </w:rPr>
              <w:t>)</w:t>
            </w:r>
            <w:r>
              <w:rPr>
                <w:rFonts w:hint="eastAsia"/>
                <w:b w:val="0"/>
                <w:bCs w:val="0"/>
              </w:rPr>
              <w:t>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08" w:type="dxa"/>
            <w:vAlign w:val="center"/>
          </w:tcPr>
          <w:p>
            <w:pPr>
              <w:jc w:val="center"/>
              <w:rPr>
                <w:b w:val="0"/>
                <w:bCs w:val="0"/>
              </w:rPr>
            </w:pPr>
            <w:r>
              <w:rPr>
                <w:b w:val="0"/>
                <w:bCs w:val="0"/>
              </w:rPr>
              <w:t>10</w:t>
            </w:r>
          </w:p>
        </w:tc>
        <w:tc>
          <w:tcPr>
            <w:tcW w:w="1800" w:type="dxa"/>
            <w:vAlign w:val="center"/>
          </w:tcPr>
          <w:p>
            <w:pPr>
              <w:jc w:val="center"/>
              <w:rPr>
                <w:rFonts w:cs="Times New Roman"/>
                <w:b w:val="0"/>
                <w:bCs w:val="0"/>
              </w:rPr>
            </w:pPr>
            <w:r>
              <w:rPr>
                <w:rFonts w:hint="eastAsia"/>
                <w:b w:val="0"/>
                <w:bCs w:val="0"/>
              </w:rPr>
              <w:t>中小企业申明函</w:t>
            </w:r>
          </w:p>
        </w:tc>
        <w:tc>
          <w:tcPr>
            <w:tcW w:w="5580" w:type="dxa"/>
          </w:tcPr>
          <w:p>
            <w:pPr>
              <w:rPr>
                <w:rFonts w:cs="Times New Roman"/>
                <w:b w:val="0"/>
                <w:bCs w:val="0"/>
              </w:rPr>
            </w:pPr>
            <w:r>
              <w:rPr>
                <w:rFonts w:hint="eastAsia"/>
                <w:b w:val="0"/>
                <w:bCs w:val="0"/>
              </w:rPr>
              <w:t>本项目为专门面向中小企业采购项目，须提供中小企业声明函。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08" w:type="dxa"/>
            <w:vAlign w:val="center"/>
          </w:tcPr>
          <w:p>
            <w:pPr>
              <w:jc w:val="center"/>
              <w:rPr>
                <w:b w:val="0"/>
                <w:bCs w:val="0"/>
              </w:rPr>
            </w:pPr>
            <w:r>
              <w:rPr>
                <w:b w:val="0"/>
                <w:bCs w:val="0"/>
              </w:rPr>
              <w:t>11</w:t>
            </w:r>
          </w:p>
        </w:tc>
        <w:tc>
          <w:tcPr>
            <w:tcW w:w="1800" w:type="dxa"/>
            <w:vAlign w:val="center"/>
          </w:tcPr>
          <w:p>
            <w:pPr>
              <w:jc w:val="center"/>
              <w:rPr>
                <w:rFonts w:cs="Times New Roman"/>
                <w:b w:val="0"/>
                <w:bCs w:val="0"/>
              </w:rPr>
            </w:pPr>
            <w:r>
              <w:rPr>
                <w:rFonts w:hint="eastAsia"/>
                <w:b w:val="0"/>
                <w:bCs w:val="0"/>
              </w:rPr>
              <w:t>承诺函</w:t>
            </w:r>
          </w:p>
        </w:tc>
        <w:tc>
          <w:tcPr>
            <w:tcW w:w="5580" w:type="dxa"/>
          </w:tcPr>
          <w:p>
            <w:pPr>
              <w:rPr>
                <w:rFonts w:cs="Times New Roman"/>
                <w:b w:val="0"/>
                <w:bCs w:val="0"/>
              </w:rPr>
            </w:pPr>
            <w:r>
              <w:rPr>
                <w:rFonts w:hint="eastAsia"/>
                <w:b w:val="0"/>
                <w:bCs w:val="0"/>
              </w:rPr>
              <w:t>单位负责人为同一人或者存在直接控股、管理关系的不同供应商，不得同时参加本次活动。供应商须对上述事项提供承诺函，格式自拟。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08" w:type="dxa"/>
            <w:vAlign w:val="center"/>
          </w:tcPr>
          <w:p>
            <w:pPr>
              <w:jc w:val="center"/>
              <w:rPr>
                <w:b w:val="0"/>
                <w:bCs w:val="0"/>
              </w:rPr>
            </w:pPr>
            <w:r>
              <w:rPr>
                <w:b w:val="0"/>
                <w:bCs w:val="0"/>
              </w:rPr>
              <w:t>12</w:t>
            </w:r>
          </w:p>
        </w:tc>
        <w:tc>
          <w:tcPr>
            <w:tcW w:w="1800" w:type="dxa"/>
            <w:vAlign w:val="center"/>
          </w:tcPr>
          <w:p>
            <w:pPr>
              <w:jc w:val="center"/>
              <w:rPr>
                <w:rFonts w:cs="Times New Roman"/>
                <w:b w:val="0"/>
                <w:bCs w:val="0"/>
              </w:rPr>
            </w:pPr>
            <w:r>
              <w:rPr>
                <w:rFonts w:hint="eastAsia"/>
                <w:b w:val="0"/>
                <w:bCs w:val="0"/>
              </w:rPr>
              <w:t>本项目不接受联合体</w:t>
            </w:r>
          </w:p>
        </w:tc>
        <w:tc>
          <w:tcPr>
            <w:tcW w:w="5580" w:type="dxa"/>
          </w:tcPr>
          <w:p>
            <w:pPr>
              <w:rPr>
                <w:rFonts w:cs="Times New Roman"/>
                <w:b w:val="0"/>
                <w:bCs w:val="0"/>
              </w:rPr>
            </w:pPr>
            <w:r>
              <w:rPr>
                <w:rFonts w:hint="eastAsia"/>
                <w:b w:val="0"/>
                <w:bCs w:val="0"/>
              </w:rPr>
              <w:t>供应商须对本事项提供承诺函，格式自拟。</w:t>
            </w:r>
          </w:p>
        </w:tc>
      </w:tr>
    </w:tbl>
    <w:p>
      <w:pPr>
        <w:rPr>
          <w:rFonts w:cs="Times New Roman"/>
        </w:rPr>
      </w:pPr>
      <w:r>
        <w:rPr>
          <w:rFonts w:hint="eastAsia"/>
        </w:rPr>
        <w:t>供应商须按照上述要求提供资格证明文件，资格证明文件内容完整、清晰、整洁，并由投标人加盖其单位公章。资格证明材料为提交或提交不全则资格审查不合格。</w:t>
      </w:r>
    </w:p>
    <w:p>
      <w:pPr>
        <w:rPr>
          <w:rFonts w:cs="Times New Roman"/>
        </w:rPr>
      </w:pPr>
      <w:r>
        <w:rPr>
          <w:rFonts w:hint="eastAsia"/>
        </w:rPr>
        <w:t>三、评审标准</w:t>
      </w:r>
    </w:p>
    <w:p>
      <w:pPr>
        <w:rPr>
          <w:rFonts w:cs="Times New Roman"/>
          <w:b w:val="0"/>
          <w:bCs w:val="0"/>
        </w:rPr>
      </w:pPr>
      <w:r>
        <w:rPr>
          <w:b w:val="0"/>
          <w:bCs w:val="0"/>
        </w:rPr>
        <w:t>1</w:t>
      </w:r>
      <w:r>
        <w:rPr>
          <w:rFonts w:hint="eastAsia"/>
          <w:b w:val="0"/>
          <w:bCs w:val="0"/>
        </w:rPr>
        <w:t>、资格审查合格的供应商进入评审。</w:t>
      </w:r>
    </w:p>
    <w:p>
      <w:pPr>
        <w:rPr>
          <w:rFonts w:cs="Times New Roman"/>
          <w:b w:val="0"/>
          <w:bCs w:val="0"/>
        </w:rPr>
      </w:pPr>
      <w:r>
        <w:rPr>
          <w:b w:val="0"/>
          <w:bCs w:val="0"/>
        </w:rPr>
        <w:t>2</w:t>
      </w:r>
      <w:r>
        <w:rPr>
          <w:rFonts w:hint="eastAsia"/>
          <w:b w:val="0"/>
          <w:bCs w:val="0"/>
        </w:rPr>
        <w:t>、评审方法：综合评分法，满分</w:t>
      </w:r>
      <w:r>
        <w:rPr>
          <w:b w:val="0"/>
          <w:bCs w:val="0"/>
        </w:rPr>
        <w:t>100</w:t>
      </w:r>
      <w:r>
        <w:rPr>
          <w:rFonts w:hint="eastAsia"/>
          <w:b w:val="0"/>
          <w:bCs w:val="0"/>
        </w:rPr>
        <w:t>分。具体如下</w:t>
      </w:r>
    </w:p>
    <w:tbl>
      <w:tblPr>
        <w:tblStyle w:val="8"/>
        <w:tblW w:w="0" w:type="auto"/>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92"/>
        <w:gridCol w:w="1007"/>
        <w:gridCol w:w="54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592" w:type="dxa"/>
          </w:tcPr>
          <w:p>
            <w:pPr>
              <w:jc w:val="center"/>
              <w:rPr>
                <w:rFonts w:cs="Times New Roman"/>
                <w:b w:val="0"/>
                <w:bCs w:val="0"/>
              </w:rPr>
            </w:pPr>
            <w:r>
              <w:rPr>
                <w:rFonts w:hint="eastAsia"/>
                <w:b w:val="0"/>
                <w:bCs w:val="0"/>
              </w:rPr>
              <w:t>项目</w:t>
            </w:r>
          </w:p>
        </w:tc>
        <w:tc>
          <w:tcPr>
            <w:tcW w:w="1007" w:type="dxa"/>
          </w:tcPr>
          <w:p>
            <w:pPr>
              <w:jc w:val="center"/>
              <w:rPr>
                <w:rFonts w:cs="Times New Roman"/>
                <w:b w:val="0"/>
                <w:bCs w:val="0"/>
              </w:rPr>
            </w:pPr>
            <w:r>
              <w:rPr>
                <w:rFonts w:hint="eastAsia"/>
                <w:b w:val="0"/>
                <w:bCs w:val="0"/>
              </w:rPr>
              <w:t>分值</w:t>
            </w:r>
          </w:p>
        </w:tc>
        <w:tc>
          <w:tcPr>
            <w:tcW w:w="5464" w:type="dxa"/>
          </w:tcPr>
          <w:p>
            <w:pPr>
              <w:jc w:val="center"/>
              <w:rPr>
                <w:rFonts w:cs="Times New Roman"/>
                <w:b w:val="0"/>
                <w:bCs w:val="0"/>
              </w:rPr>
            </w:pPr>
            <w:r>
              <w:rPr>
                <w:rFonts w:hint="eastAsia"/>
                <w:b w:val="0"/>
                <w:bCs w:val="0"/>
              </w:rPr>
              <w:t>描述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592" w:type="dxa"/>
            <w:vAlign w:val="center"/>
          </w:tcPr>
          <w:p>
            <w:pPr>
              <w:rPr>
                <w:rFonts w:cs="Times New Roman"/>
                <w:b w:val="0"/>
                <w:bCs w:val="0"/>
              </w:rPr>
            </w:pPr>
            <w:r>
              <w:rPr>
                <w:b w:val="0"/>
                <w:bCs w:val="0"/>
              </w:rPr>
              <w:t>1.</w:t>
            </w:r>
            <w:r>
              <w:rPr>
                <w:rFonts w:hint="eastAsia"/>
                <w:b w:val="0"/>
                <w:bCs w:val="0"/>
              </w:rPr>
              <w:t>服务整体思路及管理目标</w:t>
            </w:r>
          </w:p>
        </w:tc>
        <w:tc>
          <w:tcPr>
            <w:tcW w:w="1007" w:type="dxa"/>
            <w:vAlign w:val="center"/>
          </w:tcPr>
          <w:p>
            <w:pPr>
              <w:rPr>
                <w:b w:val="0"/>
                <w:bCs w:val="0"/>
              </w:rPr>
            </w:pPr>
            <w:r>
              <w:rPr>
                <w:b w:val="0"/>
                <w:bCs w:val="0"/>
              </w:rPr>
              <w:t>10.00</w:t>
            </w:r>
          </w:p>
        </w:tc>
        <w:tc>
          <w:tcPr>
            <w:tcW w:w="5464" w:type="dxa"/>
          </w:tcPr>
          <w:p>
            <w:pPr>
              <w:rPr>
                <w:rFonts w:cs="Times New Roman"/>
                <w:b w:val="0"/>
                <w:bCs w:val="0"/>
              </w:rPr>
            </w:pPr>
            <w:r>
              <w:rPr>
                <w:rFonts w:hint="eastAsia"/>
                <w:b w:val="0"/>
                <w:bCs w:val="0"/>
              </w:rPr>
              <w:t>评审小组根据各供应商通过对本项目建筑架构、配套设施、周边环境等方面的了解，以及交通运输厅的政策职能和性质，针对本项目制定的物业服务整体思路和管理目标进行评分：整体思路及管理目标贴合大楼实际情况，符合采购人实际需求，本项目得</w:t>
            </w:r>
            <w:r>
              <w:rPr>
                <w:b w:val="0"/>
                <w:bCs w:val="0"/>
              </w:rPr>
              <w:t>6</w:t>
            </w:r>
            <w:r>
              <w:rPr>
                <w:rFonts w:hint="eastAsia"/>
                <w:b w:val="0"/>
                <w:bCs w:val="0"/>
              </w:rPr>
              <w:t>（不含）分</w:t>
            </w:r>
            <w:r>
              <w:rPr>
                <w:b w:val="0"/>
                <w:bCs w:val="0"/>
              </w:rPr>
              <w:t>-10</w:t>
            </w:r>
            <w:r>
              <w:rPr>
                <w:rFonts w:hint="eastAsia"/>
                <w:b w:val="0"/>
                <w:bCs w:val="0"/>
              </w:rPr>
              <w:t>（含）分；整体思路及管理目标较贴合大楼实际情况，较符合采购人实际需求的本项目得</w:t>
            </w:r>
            <w:r>
              <w:rPr>
                <w:b w:val="0"/>
                <w:bCs w:val="0"/>
              </w:rPr>
              <w:t>3</w:t>
            </w:r>
            <w:r>
              <w:rPr>
                <w:rFonts w:hint="eastAsia"/>
                <w:b w:val="0"/>
                <w:bCs w:val="0"/>
              </w:rPr>
              <w:t>（不含）分</w:t>
            </w:r>
            <w:r>
              <w:rPr>
                <w:b w:val="0"/>
                <w:bCs w:val="0"/>
              </w:rPr>
              <w:t>-6</w:t>
            </w:r>
            <w:r>
              <w:rPr>
                <w:rFonts w:hint="eastAsia"/>
                <w:b w:val="0"/>
                <w:bCs w:val="0"/>
              </w:rPr>
              <w:t>（含）分；整体思路及管理目标基本贴合大楼实际情况，基本符合采购人实际需求的本项目的得</w:t>
            </w:r>
            <w:r>
              <w:rPr>
                <w:b w:val="0"/>
                <w:bCs w:val="0"/>
              </w:rPr>
              <w:t>1</w:t>
            </w:r>
            <w:r>
              <w:rPr>
                <w:rFonts w:hint="eastAsia"/>
                <w:b w:val="0"/>
                <w:bCs w:val="0"/>
              </w:rPr>
              <w:t>（含）分</w:t>
            </w:r>
            <w:r>
              <w:rPr>
                <w:b w:val="0"/>
                <w:bCs w:val="0"/>
              </w:rPr>
              <w:t>-3</w:t>
            </w:r>
            <w:r>
              <w:rPr>
                <w:rFonts w:hint="eastAsia"/>
                <w:b w:val="0"/>
                <w:bCs w:val="0"/>
              </w:rPr>
              <w:t>（含）分；整体思路及管理目标有缺漏、未提供或内容存在明显错误、内容明显不适用于本项目需求的均不得分。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592" w:type="dxa"/>
            <w:vAlign w:val="center"/>
          </w:tcPr>
          <w:p>
            <w:pPr>
              <w:rPr>
                <w:rFonts w:cs="Times New Roman"/>
                <w:b w:val="0"/>
                <w:bCs w:val="0"/>
              </w:rPr>
            </w:pPr>
            <w:r>
              <w:rPr>
                <w:b w:val="0"/>
                <w:bCs w:val="0"/>
              </w:rPr>
              <w:t>2.</w:t>
            </w:r>
            <w:r>
              <w:rPr>
                <w:rFonts w:hint="eastAsia"/>
                <w:b w:val="0"/>
                <w:bCs w:val="0"/>
              </w:rPr>
              <w:t>管理规章制度</w:t>
            </w:r>
          </w:p>
        </w:tc>
        <w:tc>
          <w:tcPr>
            <w:tcW w:w="1007" w:type="dxa"/>
            <w:vAlign w:val="center"/>
          </w:tcPr>
          <w:p>
            <w:pPr>
              <w:rPr>
                <w:b w:val="0"/>
                <w:bCs w:val="0"/>
              </w:rPr>
            </w:pPr>
            <w:r>
              <w:rPr>
                <w:b w:val="0"/>
                <w:bCs w:val="0"/>
              </w:rPr>
              <w:t>10.00</w:t>
            </w:r>
          </w:p>
        </w:tc>
        <w:tc>
          <w:tcPr>
            <w:tcW w:w="5464" w:type="dxa"/>
          </w:tcPr>
          <w:p>
            <w:pPr>
              <w:rPr>
                <w:rFonts w:cs="Times New Roman"/>
                <w:b w:val="0"/>
                <w:bCs w:val="0"/>
              </w:rPr>
            </w:pPr>
            <w:r>
              <w:rPr>
                <w:rFonts w:hint="eastAsia"/>
                <w:b w:val="0"/>
                <w:bCs w:val="0"/>
              </w:rPr>
              <w:t>评审小组根据各供应商人针对本项目实际情况制定的各项管理规章制度（内容包含但不限于：人事管理、档案管理、项目日常管理与物业相关制度等）进行评分：制度符合采购人实际需求，包含的要点齐全无缺漏项、内容与要点相符、每个要点均有展开详细的阐述且能够适用于本项目得</w:t>
            </w:r>
            <w:r>
              <w:rPr>
                <w:b w:val="0"/>
                <w:bCs w:val="0"/>
              </w:rPr>
              <w:t>6</w:t>
            </w:r>
            <w:r>
              <w:rPr>
                <w:rFonts w:hint="eastAsia"/>
                <w:b w:val="0"/>
                <w:bCs w:val="0"/>
              </w:rPr>
              <w:t>（不含）分</w:t>
            </w:r>
            <w:r>
              <w:rPr>
                <w:b w:val="0"/>
                <w:bCs w:val="0"/>
              </w:rPr>
              <w:t>-10</w:t>
            </w:r>
            <w:r>
              <w:rPr>
                <w:rFonts w:hint="eastAsia"/>
                <w:b w:val="0"/>
                <w:bCs w:val="0"/>
              </w:rPr>
              <w:t>（含）分；方案较符合采购人实际需求，所包含的要点齐全、内容与要点相符、每个要点均有展开阐述（没有特别具体）但基本能够适用于本项目的得</w:t>
            </w:r>
            <w:r>
              <w:rPr>
                <w:b w:val="0"/>
                <w:bCs w:val="0"/>
              </w:rPr>
              <w:t>3</w:t>
            </w:r>
            <w:r>
              <w:rPr>
                <w:rFonts w:hint="eastAsia"/>
                <w:b w:val="0"/>
                <w:bCs w:val="0"/>
              </w:rPr>
              <w:t>（不含）分</w:t>
            </w:r>
            <w:r>
              <w:rPr>
                <w:b w:val="0"/>
                <w:bCs w:val="0"/>
              </w:rPr>
              <w:t>-6</w:t>
            </w:r>
            <w:r>
              <w:rPr>
                <w:rFonts w:hint="eastAsia"/>
                <w:b w:val="0"/>
                <w:bCs w:val="0"/>
              </w:rPr>
              <w:t>（含）分；方案基本符合采购人实际需求，所包含的要点齐全、内容与要点相符但仅有纲要、内容简略，未展开详细阐述但基本能够适用于本项目的得</w:t>
            </w:r>
            <w:r>
              <w:rPr>
                <w:b w:val="0"/>
                <w:bCs w:val="0"/>
              </w:rPr>
              <w:t>1</w:t>
            </w:r>
            <w:r>
              <w:rPr>
                <w:rFonts w:hint="eastAsia"/>
                <w:b w:val="0"/>
                <w:bCs w:val="0"/>
              </w:rPr>
              <w:t>（含）分</w:t>
            </w:r>
            <w:r>
              <w:rPr>
                <w:b w:val="0"/>
                <w:bCs w:val="0"/>
              </w:rPr>
              <w:t>-3</w:t>
            </w:r>
            <w:r>
              <w:rPr>
                <w:rFonts w:hint="eastAsia"/>
                <w:b w:val="0"/>
                <w:bCs w:val="0"/>
              </w:rPr>
              <w:t>（含）分；方案较不符合采购人实际需求，所包含的要点有缺漏、未提供或内容存在明显错误、内容明显不适用于本项目需求的均不得分。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567" w:hRule="atLeast"/>
        </w:trPr>
        <w:tc>
          <w:tcPr>
            <w:tcW w:w="1592" w:type="dxa"/>
            <w:vAlign w:val="center"/>
          </w:tcPr>
          <w:p>
            <w:pPr>
              <w:rPr>
                <w:rFonts w:cs="Times New Roman"/>
                <w:b w:val="0"/>
                <w:bCs w:val="0"/>
              </w:rPr>
            </w:pPr>
            <w:r>
              <w:rPr>
                <w:b w:val="0"/>
                <w:bCs w:val="0"/>
              </w:rPr>
              <w:t>3.</w:t>
            </w:r>
            <w:r>
              <w:rPr>
                <w:rFonts w:hint="eastAsia"/>
                <w:b w:val="0"/>
                <w:bCs w:val="0"/>
              </w:rPr>
              <w:t>总体实施方案</w:t>
            </w:r>
          </w:p>
        </w:tc>
        <w:tc>
          <w:tcPr>
            <w:tcW w:w="1007" w:type="dxa"/>
            <w:vAlign w:val="center"/>
          </w:tcPr>
          <w:p>
            <w:pPr>
              <w:rPr>
                <w:b w:val="0"/>
                <w:bCs w:val="0"/>
              </w:rPr>
            </w:pPr>
            <w:r>
              <w:rPr>
                <w:rFonts w:hint="eastAsia"/>
                <w:b w:val="0"/>
                <w:bCs w:val="0"/>
                <w:lang w:val="en-US" w:eastAsia="zh-CN"/>
              </w:rPr>
              <w:t>40</w:t>
            </w:r>
            <w:r>
              <w:rPr>
                <w:b w:val="0"/>
                <w:bCs w:val="0"/>
              </w:rPr>
              <w:t>.00</w:t>
            </w:r>
          </w:p>
        </w:tc>
        <w:tc>
          <w:tcPr>
            <w:tcW w:w="5464" w:type="dxa"/>
          </w:tcPr>
          <w:p>
            <w:pPr>
              <w:rPr>
                <w:rFonts w:cs="Times New Roman"/>
                <w:b w:val="0"/>
                <w:bCs w:val="0"/>
              </w:rPr>
            </w:pPr>
            <w:r>
              <w:rPr>
                <w:rFonts w:hint="eastAsia"/>
                <w:b w:val="0"/>
                <w:bCs w:val="0"/>
              </w:rPr>
              <w:t>评审小组根据各供应商通过对本项目建筑架构、配套设施、周边环境等方面的了解，针对本项目制定的整体服务方案（包括但不限于：人员配备、环境保洁、绿化管理、秩序维护安防管理、车辆停放、公共设施设备维护、客服接待方案等。由评委进行评分：方案符合采购人实际需求，包含的要点齐全无缺漏项、内容与要点相符、每个要点均有展开详细的阐述且能够适用于本项目得</w:t>
            </w:r>
            <w:r>
              <w:rPr>
                <w:rFonts w:hint="eastAsia"/>
                <w:b w:val="0"/>
                <w:bCs w:val="0"/>
                <w:lang w:val="en-US" w:eastAsia="zh-CN"/>
              </w:rPr>
              <w:t>24</w:t>
            </w:r>
            <w:r>
              <w:rPr>
                <w:rFonts w:hint="eastAsia"/>
                <w:b w:val="0"/>
                <w:bCs w:val="0"/>
              </w:rPr>
              <w:t>（不含）分</w:t>
            </w:r>
            <w:r>
              <w:rPr>
                <w:b w:val="0"/>
                <w:bCs w:val="0"/>
              </w:rPr>
              <w:t>-</w:t>
            </w:r>
            <w:r>
              <w:rPr>
                <w:rFonts w:hint="eastAsia"/>
                <w:b w:val="0"/>
                <w:bCs w:val="0"/>
                <w:lang w:val="en-US" w:eastAsia="zh-CN"/>
              </w:rPr>
              <w:t>40</w:t>
            </w:r>
            <w:r>
              <w:rPr>
                <w:rFonts w:hint="eastAsia"/>
                <w:b w:val="0"/>
                <w:bCs w:val="0"/>
              </w:rPr>
              <w:t>（含）分；方案较符合采购人实际需求，所包含的要点齐全、内容与要点相符、每个要点均有展开阐述（没有特别具体）但基本能够适用于本项目的得</w:t>
            </w:r>
            <w:r>
              <w:rPr>
                <w:rFonts w:hint="eastAsia"/>
                <w:b w:val="0"/>
                <w:bCs w:val="0"/>
                <w:lang w:val="en-US" w:eastAsia="zh-CN"/>
              </w:rPr>
              <w:t>12</w:t>
            </w:r>
            <w:r>
              <w:rPr>
                <w:rFonts w:hint="eastAsia"/>
                <w:b w:val="0"/>
                <w:bCs w:val="0"/>
              </w:rPr>
              <w:t>（不含）分</w:t>
            </w:r>
            <w:r>
              <w:rPr>
                <w:b w:val="0"/>
                <w:bCs w:val="0"/>
              </w:rPr>
              <w:t>-</w:t>
            </w:r>
            <w:r>
              <w:rPr>
                <w:rFonts w:hint="eastAsia"/>
                <w:b w:val="0"/>
                <w:bCs w:val="0"/>
                <w:lang w:val="en-US" w:eastAsia="zh-CN"/>
              </w:rPr>
              <w:t>24</w:t>
            </w:r>
            <w:r>
              <w:rPr>
                <w:rFonts w:hint="eastAsia"/>
                <w:b w:val="0"/>
                <w:bCs w:val="0"/>
              </w:rPr>
              <w:t>（含）分；方案基本符合采购人实际需求，所包含的要点齐全、内容与要点相符但仅有纲要、内容简略，未展开详细阐述但基本能够适用于本项目的得</w:t>
            </w:r>
            <w:r>
              <w:rPr>
                <w:b w:val="0"/>
                <w:bCs w:val="0"/>
              </w:rPr>
              <w:t>1</w:t>
            </w:r>
            <w:r>
              <w:rPr>
                <w:rFonts w:hint="eastAsia"/>
                <w:b w:val="0"/>
                <w:bCs w:val="0"/>
              </w:rPr>
              <w:t>（含）分</w:t>
            </w:r>
            <w:r>
              <w:rPr>
                <w:b w:val="0"/>
                <w:bCs w:val="0"/>
              </w:rPr>
              <w:t>-1</w:t>
            </w:r>
            <w:r>
              <w:rPr>
                <w:rFonts w:hint="eastAsia"/>
                <w:b w:val="0"/>
                <w:bCs w:val="0"/>
                <w:lang w:val="en-US" w:eastAsia="zh-CN"/>
              </w:rPr>
              <w:t>2</w:t>
            </w:r>
            <w:r>
              <w:rPr>
                <w:rFonts w:hint="eastAsia"/>
                <w:b w:val="0"/>
                <w:bCs w:val="0"/>
              </w:rPr>
              <w:t>（含）分；方案较不符合采购人实际需求，所包含的要点有缺漏、未提供或内容存在明显错误、内容明显不适用于本项目需求的均不得分。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592" w:type="dxa"/>
            <w:vAlign w:val="center"/>
          </w:tcPr>
          <w:p>
            <w:pPr>
              <w:rPr>
                <w:rFonts w:cs="Times New Roman"/>
                <w:b w:val="0"/>
                <w:bCs w:val="0"/>
              </w:rPr>
            </w:pPr>
            <w:r>
              <w:rPr>
                <w:b w:val="0"/>
                <w:bCs w:val="0"/>
              </w:rPr>
              <w:t>4.</w:t>
            </w:r>
            <w:r>
              <w:rPr>
                <w:rFonts w:hint="eastAsia"/>
                <w:b w:val="0"/>
                <w:bCs w:val="0"/>
              </w:rPr>
              <w:t>项目人员使用方案</w:t>
            </w:r>
          </w:p>
        </w:tc>
        <w:tc>
          <w:tcPr>
            <w:tcW w:w="1007" w:type="dxa"/>
            <w:vAlign w:val="center"/>
          </w:tcPr>
          <w:p>
            <w:pPr>
              <w:rPr>
                <w:rFonts w:hint="default" w:eastAsia="宋体" w:cs="Times New Roman"/>
                <w:b w:val="0"/>
                <w:bCs w:val="0"/>
                <w:lang w:val="en-US" w:eastAsia="zh-CN"/>
              </w:rPr>
            </w:pPr>
            <w:r>
              <w:rPr>
                <w:b w:val="0"/>
                <w:bCs w:val="0"/>
              </w:rPr>
              <w:t>1</w:t>
            </w:r>
            <w:r>
              <w:rPr>
                <w:rFonts w:hint="eastAsia"/>
                <w:b w:val="0"/>
                <w:bCs w:val="0"/>
                <w:lang w:val="en-US" w:eastAsia="zh-CN"/>
              </w:rPr>
              <w:t>5.00</w:t>
            </w:r>
          </w:p>
        </w:tc>
        <w:tc>
          <w:tcPr>
            <w:tcW w:w="5464" w:type="dxa"/>
          </w:tcPr>
          <w:p>
            <w:pPr>
              <w:rPr>
                <w:rFonts w:cs="Times New Roman"/>
                <w:b w:val="0"/>
                <w:bCs w:val="0"/>
              </w:rPr>
            </w:pPr>
            <w:r>
              <w:rPr>
                <w:rFonts w:hint="eastAsia"/>
                <w:b w:val="0"/>
                <w:bCs w:val="0"/>
              </w:rPr>
              <w:t>评审小组根据供应商按照征集公告中“人员基本配备及要求”的承诺进行评审，承诺服务期内全部使用原岗位服务人员且使用费用不低于原工资待遇标准的得</w:t>
            </w:r>
            <w:r>
              <w:rPr>
                <w:b w:val="0"/>
                <w:bCs w:val="0"/>
              </w:rPr>
              <w:t>15</w:t>
            </w:r>
            <w:r>
              <w:rPr>
                <w:rFonts w:hint="eastAsia"/>
                <w:b w:val="0"/>
                <w:bCs w:val="0"/>
              </w:rPr>
              <w:t>分；承诺更换人员方案征得采购人及大楼物业管理委员会审核同意，服务期内使用原岗位</w:t>
            </w:r>
            <w:r>
              <w:rPr>
                <w:b w:val="0"/>
                <w:bCs w:val="0"/>
              </w:rPr>
              <w:t>75%</w:t>
            </w:r>
            <w:r>
              <w:rPr>
                <w:rFonts w:hint="eastAsia"/>
                <w:b w:val="0"/>
                <w:bCs w:val="0"/>
              </w:rPr>
              <w:t>（含）至</w:t>
            </w:r>
            <w:r>
              <w:rPr>
                <w:b w:val="0"/>
                <w:bCs w:val="0"/>
              </w:rPr>
              <w:t>100%</w:t>
            </w:r>
            <w:r>
              <w:rPr>
                <w:rFonts w:hint="eastAsia"/>
                <w:b w:val="0"/>
                <w:bCs w:val="0"/>
              </w:rPr>
              <w:t>（不含）的服务人员且使用费用不低于原工资待遇标准的得</w:t>
            </w:r>
            <w:r>
              <w:rPr>
                <w:b w:val="0"/>
                <w:bCs w:val="0"/>
              </w:rPr>
              <w:t>7.5</w:t>
            </w:r>
            <w:r>
              <w:rPr>
                <w:rFonts w:hint="eastAsia"/>
                <w:b w:val="0"/>
                <w:bCs w:val="0"/>
              </w:rPr>
              <w:t>分；承诺更换人员方案征得采购人及大楼物业管理委员会审核同意，服务期内使用原岗位</w:t>
            </w:r>
            <w:r>
              <w:rPr>
                <w:b w:val="0"/>
                <w:bCs w:val="0"/>
              </w:rPr>
              <w:t>50%</w:t>
            </w:r>
            <w:r>
              <w:rPr>
                <w:rFonts w:hint="eastAsia"/>
                <w:b w:val="0"/>
                <w:bCs w:val="0"/>
              </w:rPr>
              <w:t>（含）至</w:t>
            </w:r>
            <w:r>
              <w:rPr>
                <w:b w:val="0"/>
                <w:bCs w:val="0"/>
              </w:rPr>
              <w:t>75%</w:t>
            </w:r>
            <w:r>
              <w:rPr>
                <w:rFonts w:hint="eastAsia"/>
                <w:b w:val="0"/>
                <w:bCs w:val="0"/>
              </w:rPr>
              <w:t>（不含）的服务人员且使用费用不低于原工资待遇标准的得</w:t>
            </w:r>
            <w:r>
              <w:rPr>
                <w:b w:val="0"/>
                <w:bCs w:val="0"/>
              </w:rPr>
              <w:t>1.5</w:t>
            </w:r>
            <w:r>
              <w:rPr>
                <w:rFonts w:hint="eastAsia"/>
                <w:b w:val="0"/>
                <w:bCs w:val="0"/>
              </w:rPr>
              <w:t>分；其他情况均不得分。</w:t>
            </w:r>
            <w:bookmarkStart w:id="0" w:name="_GoBack"/>
            <w:bookmarkEnd w:id="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592" w:type="dxa"/>
            <w:vAlign w:val="center"/>
          </w:tcPr>
          <w:p>
            <w:pPr>
              <w:rPr>
                <w:rFonts w:cs="Times New Roman"/>
                <w:b w:val="0"/>
                <w:bCs w:val="0"/>
              </w:rPr>
            </w:pPr>
            <w:r>
              <w:rPr>
                <w:b w:val="0"/>
                <w:bCs w:val="0"/>
              </w:rPr>
              <w:t>5.</w:t>
            </w:r>
            <w:r>
              <w:rPr>
                <w:rFonts w:hint="eastAsia"/>
                <w:b w:val="0"/>
                <w:bCs w:val="0"/>
              </w:rPr>
              <w:t>应急方案</w:t>
            </w:r>
          </w:p>
        </w:tc>
        <w:tc>
          <w:tcPr>
            <w:tcW w:w="1007" w:type="dxa"/>
            <w:vAlign w:val="center"/>
          </w:tcPr>
          <w:p>
            <w:pPr>
              <w:rPr>
                <w:b w:val="0"/>
                <w:bCs w:val="0"/>
              </w:rPr>
            </w:pPr>
            <w:r>
              <w:rPr>
                <w:b w:val="0"/>
                <w:bCs w:val="0"/>
              </w:rPr>
              <w:t>10.00</w:t>
            </w:r>
          </w:p>
        </w:tc>
        <w:tc>
          <w:tcPr>
            <w:tcW w:w="5464" w:type="dxa"/>
          </w:tcPr>
          <w:p>
            <w:pPr>
              <w:rPr>
                <w:rFonts w:cs="Times New Roman"/>
                <w:b w:val="0"/>
                <w:bCs w:val="0"/>
              </w:rPr>
            </w:pPr>
            <w:r>
              <w:rPr>
                <w:rFonts w:hint="eastAsia"/>
                <w:b w:val="0"/>
                <w:bCs w:val="0"/>
              </w:rPr>
              <w:t>评审小组根据供应商按照大楼物业管理的综治平安、政府机关单位内保管理要求提供的包含但不限于突发公共事件应急预案、群体性信访（上访）维稳应急预案、电梯应急预案、消防应急预案、停电、停水应急处置预案等进行评分：方案符合采购人实际需求，包含的要点齐全无缺漏项、内容与要点相符、每个要点均有展开详细的阐述且能够适用于本项目的得</w:t>
            </w:r>
            <w:r>
              <w:rPr>
                <w:b w:val="0"/>
                <w:bCs w:val="0"/>
              </w:rPr>
              <w:t>6</w:t>
            </w:r>
            <w:r>
              <w:rPr>
                <w:rFonts w:hint="eastAsia"/>
                <w:b w:val="0"/>
                <w:bCs w:val="0"/>
              </w:rPr>
              <w:t>（不含）分</w:t>
            </w:r>
            <w:r>
              <w:rPr>
                <w:b w:val="0"/>
                <w:bCs w:val="0"/>
              </w:rPr>
              <w:t>-10</w:t>
            </w:r>
            <w:r>
              <w:rPr>
                <w:rFonts w:hint="eastAsia"/>
                <w:b w:val="0"/>
                <w:bCs w:val="0"/>
              </w:rPr>
              <w:t>（含）分；方案较符合采购人实际需求，所包含的要点齐全、内容与要点相符、每个要点均有展开阐述（没有特别具体）但基本能够适用于本项目的得</w:t>
            </w:r>
            <w:r>
              <w:rPr>
                <w:b w:val="0"/>
                <w:bCs w:val="0"/>
              </w:rPr>
              <w:t>3</w:t>
            </w:r>
            <w:r>
              <w:rPr>
                <w:rFonts w:hint="eastAsia"/>
                <w:b w:val="0"/>
                <w:bCs w:val="0"/>
              </w:rPr>
              <w:t>（不含）分</w:t>
            </w:r>
            <w:r>
              <w:rPr>
                <w:b w:val="0"/>
                <w:bCs w:val="0"/>
              </w:rPr>
              <w:t>-6</w:t>
            </w:r>
            <w:r>
              <w:rPr>
                <w:rFonts w:hint="eastAsia"/>
                <w:b w:val="0"/>
                <w:bCs w:val="0"/>
              </w:rPr>
              <w:t>（含）分；方案基本符合采购人实际需求，所包含的要点齐全、内容与要点相符但仅有纲要、内容简略，未展开详细阐述但基本能够适用于本项目的得</w:t>
            </w:r>
            <w:r>
              <w:rPr>
                <w:b w:val="0"/>
                <w:bCs w:val="0"/>
              </w:rPr>
              <w:t>1</w:t>
            </w:r>
            <w:r>
              <w:rPr>
                <w:rFonts w:hint="eastAsia"/>
                <w:b w:val="0"/>
                <w:bCs w:val="0"/>
              </w:rPr>
              <w:t>（含）分</w:t>
            </w:r>
            <w:r>
              <w:rPr>
                <w:b w:val="0"/>
                <w:bCs w:val="0"/>
              </w:rPr>
              <w:t>-3</w:t>
            </w:r>
            <w:r>
              <w:rPr>
                <w:rFonts w:hint="eastAsia"/>
                <w:b w:val="0"/>
                <w:bCs w:val="0"/>
              </w:rPr>
              <w:t>（含）分；方案较不符合采购人实际需求，所包含的要点有缺漏、未提供或内容存在明显错误、内容明显不适用于本项目需求的均不得分。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592" w:type="dxa"/>
            <w:vAlign w:val="center"/>
          </w:tcPr>
          <w:p>
            <w:pPr>
              <w:rPr>
                <w:rFonts w:cs="Times New Roman"/>
                <w:b w:val="0"/>
                <w:bCs w:val="0"/>
              </w:rPr>
            </w:pPr>
            <w:r>
              <w:rPr>
                <w:b w:val="0"/>
                <w:bCs w:val="0"/>
              </w:rPr>
              <w:t>6.</w:t>
            </w:r>
            <w:r>
              <w:rPr>
                <w:rFonts w:hint="eastAsia"/>
                <w:b w:val="0"/>
                <w:bCs w:val="0"/>
              </w:rPr>
              <w:t>职工食堂管理制度</w:t>
            </w:r>
          </w:p>
        </w:tc>
        <w:tc>
          <w:tcPr>
            <w:tcW w:w="1007" w:type="dxa"/>
            <w:vAlign w:val="center"/>
          </w:tcPr>
          <w:p>
            <w:pPr>
              <w:rPr>
                <w:b w:val="0"/>
                <w:bCs w:val="0"/>
              </w:rPr>
            </w:pPr>
            <w:r>
              <w:rPr>
                <w:b w:val="0"/>
                <w:bCs w:val="0"/>
              </w:rPr>
              <w:t>1</w:t>
            </w:r>
            <w:r>
              <w:rPr>
                <w:rFonts w:hint="eastAsia"/>
                <w:b w:val="0"/>
                <w:bCs w:val="0"/>
                <w:lang w:val="en-US" w:eastAsia="zh-CN"/>
              </w:rPr>
              <w:t>5</w:t>
            </w:r>
            <w:r>
              <w:rPr>
                <w:b w:val="0"/>
                <w:bCs w:val="0"/>
              </w:rPr>
              <w:t>.00</w:t>
            </w:r>
          </w:p>
        </w:tc>
        <w:tc>
          <w:tcPr>
            <w:tcW w:w="5464" w:type="dxa"/>
          </w:tcPr>
          <w:p>
            <w:pPr>
              <w:rPr>
                <w:rFonts w:cs="Times New Roman"/>
                <w:b w:val="0"/>
                <w:bCs w:val="0"/>
              </w:rPr>
            </w:pPr>
            <w:r>
              <w:rPr>
                <w:rFonts w:hint="eastAsia"/>
                <w:b w:val="0"/>
                <w:bCs w:val="0"/>
              </w:rPr>
              <w:t>评审小组根据各供应商针对本项目实际情况制定职工食堂管理制度，制度至少包含食堂人事管理、安全卫生、采购管理等制度等进行评议并打分，方案符合采购人实际需求，详实、可操作性强的得</w:t>
            </w:r>
            <w:r>
              <w:rPr>
                <w:rFonts w:hint="eastAsia"/>
                <w:b w:val="0"/>
                <w:bCs w:val="0"/>
                <w:lang w:val="en-US" w:eastAsia="zh-CN"/>
              </w:rPr>
              <w:t>9</w:t>
            </w:r>
            <w:r>
              <w:rPr>
                <w:rFonts w:hint="eastAsia"/>
                <w:b w:val="0"/>
                <w:bCs w:val="0"/>
              </w:rPr>
              <w:t>（不含）分</w:t>
            </w:r>
            <w:r>
              <w:rPr>
                <w:b w:val="0"/>
                <w:bCs w:val="0"/>
              </w:rPr>
              <w:t>-1</w:t>
            </w:r>
            <w:r>
              <w:rPr>
                <w:rFonts w:hint="eastAsia"/>
                <w:b w:val="0"/>
                <w:bCs w:val="0"/>
                <w:lang w:val="en-US" w:eastAsia="zh-CN"/>
              </w:rPr>
              <w:t>5</w:t>
            </w:r>
            <w:r>
              <w:rPr>
                <w:rFonts w:hint="eastAsia"/>
                <w:b w:val="0"/>
                <w:bCs w:val="0"/>
              </w:rPr>
              <w:t>（含）分，方案较符合采购人实际需求，部分详实或部分内容可操作性较强的得</w:t>
            </w:r>
            <w:r>
              <w:rPr>
                <w:rFonts w:hint="eastAsia"/>
                <w:b w:val="0"/>
                <w:bCs w:val="0"/>
                <w:lang w:val="en-US" w:eastAsia="zh-CN"/>
              </w:rPr>
              <w:t>4.5</w:t>
            </w:r>
            <w:r>
              <w:rPr>
                <w:rFonts w:hint="eastAsia"/>
                <w:b w:val="0"/>
                <w:bCs w:val="0"/>
              </w:rPr>
              <w:t>（不含）分</w:t>
            </w:r>
            <w:r>
              <w:rPr>
                <w:b w:val="0"/>
                <w:bCs w:val="0"/>
              </w:rPr>
              <w:t>-</w:t>
            </w:r>
            <w:r>
              <w:rPr>
                <w:rFonts w:hint="eastAsia"/>
                <w:b w:val="0"/>
                <w:bCs w:val="0"/>
                <w:lang w:val="en-US" w:eastAsia="zh-CN"/>
              </w:rPr>
              <w:t>9</w:t>
            </w:r>
            <w:r>
              <w:rPr>
                <w:rFonts w:hint="eastAsia"/>
                <w:b w:val="0"/>
                <w:bCs w:val="0"/>
              </w:rPr>
              <w:t>（含）分；方案基本符合采购人实际需求，方案阐述简短或可操作性不强的得</w:t>
            </w:r>
            <w:r>
              <w:rPr>
                <w:b w:val="0"/>
                <w:bCs w:val="0"/>
              </w:rPr>
              <w:t>1</w:t>
            </w:r>
            <w:r>
              <w:rPr>
                <w:rFonts w:hint="eastAsia"/>
                <w:b w:val="0"/>
                <w:bCs w:val="0"/>
              </w:rPr>
              <w:t>（含）分</w:t>
            </w:r>
            <w:r>
              <w:rPr>
                <w:b w:val="0"/>
                <w:bCs w:val="0"/>
              </w:rPr>
              <w:t>-</w:t>
            </w:r>
            <w:r>
              <w:rPr>
                <w:rFonts w:hint="eastAsia"/>
                <w:b w:val="0"/>
                <w:bCs w:val="0"/>
                <w:lang w:val="en-US" w:eastAsia="zh-CN"/>
              </w:rPr>
              <w:t>4.5</w:t>
            </w:r>
            <w:r>
              <w:rPr>
                <w:rFonts w:hint="eastAsia"/>
                <w:b w:val="0"/>
                <w:bCs w:val="0"/>
              </w:rPr>
              <w:t>（含）分，未提供的不得分。</w:t>
            </w:r>
          </w:p>
        </w:tc>
      </w:tr>
    </w:tbl>
    <w:p>
      <w:pPr>
        <w:pStyle w:val="17"/>
        <w:tabs>
          <w:tab w:val="left" w:pos="0"/>
          <w:tab w:val="left" w:pos="1620"/>
        </w:tabs>
        <w:spacing w:line="500" w:lineRule="exact"/>
        <w:outlineLvl w:val="9"/>
        <w:rPr>
          <w:rFonts w:hAnsi="宋体" w:cs="Times New Roman"/>
          <w:sz w:val="24"/>
          <w:szCs w:val="24"/>
        </w:rPr>
      </w:pPr>
      <w:r>
        <w:t>3</w:t>
      </w:r>
      <w:r>
        <w:rPr>
          <w:rFonts w:hint="eastAsia"/>
        </w:rPr>
        <w:t>、各供应商评审总得分为评审小组成员评分的算术平均分，得分保留小数点后</w:t>
      </w:r>
      <w:r>
        <w:t>2</w:t>
      </w:r>
      <w:r>
        <w:rPr>
          <w:rFonts w:hint="eastAsia"/>
        </w:rPr>
        <w:t>位。评审小组按照评审总得分由高到底进行排序，推荐前</w:t>
      </w:r>
      <w:r>
        <w:t>3</w:t>
      </w:r>
      <w:r>
        <w:rPr>
          <w:rFonts w:hint="eastAsia"/>
        </w:rPr>
        <w:t>名供应商作为本项目的邀请供应商（即采购人代表推荐排序第</w:t>
      </w:r>
      <w:r>
        <w:t>1</w:t>
      </w:r>
      <w:r>
        <w:rPr>
          <w:rFonts w:hint="eastAsia"/>
        </w:rPr>
        <w:t>的供应商，评审专家推荐排序第</w:t>
      </w:r>
      <w:r>
        <w:t>2</w:t>
      </w:r>
      <w:r>
        <w:rPr>
          <w:rFonts w:hint="eastAsia"/>
        </w:rPr>
        <w:t>和第</w:t>
      </w:r>
      <w:r>
        <w:t>3</w:t>
      </w:r>
      <w:r>
        <w:rPr>
          <w:rFonts w:hint="eastAsia"/>
        </w:rPr>
        <w:t>的供应商）。</w:t>
      </w:r>
      <w:r>
        <w:rPr>
          <w:rFonts w:hint="eastAsia" w:hAnsi="宋体"/>
        </w:rPr>
        <w:t>当评审总得分相同时，则由评审小组以随机抽取的方法确定邀请供应商。</w:t>
      </w:r>
    </w:p>
    <w:p>
      <w:pPr>
        <w:rPr>
          <w:rFonts w:cs="Times New Roman"/>
          <w:b w:val="0"/>
          <w:bCs w:val="0"/>
        </w:rPr>
      </w:pPr>
      <w:r>
        <w:rPr>
          <w:rFonts w:hint="eastAsia"/>
          <w:b w:val="0"/>
          <w:bCs w:val="0"/>
        </w:rPr>
        <w:t>四、若资格合格的供应商不足</w:t>
      </w:r>
      <w:r>
        <w:rPr>
          <w:b w:val="0"/>
          <w:bCs w:val="0"/>
        </w:rPr>
        <w:t>3</w:t>
      </w:r>
      <w:r>
        <w:rPr>
          <w:rFonts w:hint="eastAsia"/>
          <w:b w:val="0"/>
          <w:bCs w:val="0"/>
        </w:rPr>
        <w:t>家，本次征集活动终止。</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文泉驿正黑">
    <w:altName w:val="黑体"/>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2390" cy="133350"/>
              <wp:effectExtent l="0" t="0" r="0" b="0"/>
              <wp:wrapNone/>
              <wp:docPr id="1" name="文本框 1"/>
              <wp:cNvGraphicFramePr/>
              <a:graphic xmlns:a="http://schemas.openxmlformats.org/drawingml/2006/main">
                <a:graphicData uri="http://schemas.microsoft.com/office/word/2010/wordprocessingShape">
                  <wps:wsp>
                    <wps:cNvSpPr/>
                    <wps:spPr>
                      <a:xfrm>
                        <a:off x="0" y="0"/>
                        <a:ext cx="72390" cy="133350"/>
                      </a:xfrm>
                      <a:prstGeom prst="rect">
                        <a:avLst/>
                      </a:prstGeom>
                      <a:noFill/>
                      <a:ln>
                        <a:noFill/>
                      </a:ln>
                    </wps:spPr>
                    <wps:txbx>
                      <w:txbxContent>
                        <w:p>
                          <w:pPr>
                            <w:pStyle w:val="6"/>
                            <w:rPr>
                              <w:rFonts w:cs="Times New Roman"/>
                            </w:rPr>
                          </w:pPr>
                          <w:r>
                            <w:fldChar w:fldCharType="begin"/>
                          </w:r>
                          <w:r>
                            <w:instrText xml:space="preserve"> PAGE  \* MERGEFORMAT </w:instrText>
                          </w:r>
                          <w:r>
                            <w:fldChar w:fldCharType="separate"/>
                          </w:r>
                          <w:r>
                            <w:t>8</w:t>
                          </w:r>
                          <w: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0.5pt;width:5.7pt;mso-position-horizontal:center;mso-position-horizontal-relative:margin;mso-wrap-style:none;z-index:251659264;mso-width-relative:page;mso-height-relative:page;" filled="f" stroked="f" coordsize="21600,21600" o:gfxdata="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Gpc7tEAAAADAQAADwAAAAAAAAABACAAAAAiAAAAZHJzL2Rvd25yZXYueG1s&#10;UEsBAhQAFAAAAAgAh07iQLdOjGLGAQAAjAMAAA4AAAAAAAAAAQAgAAAAIAEAAGRycy9lMm9Eb2Mu&#10;eG1sUEsFBgAAAAAGAAYAWQEAAFgFAAAAAA==&#10;">
              <v:fill on="f" focussize="0,0"/>
              <v:stroke on="f"/>
              <v:imagedata o:title=""/>
              <o:lock v:ext="edit" aspectratio="f"/>
              <v:textbox inset="0mm,0mm,0mm,0mm" style="mso-fit-shape-to-text:t;">
                <w:txbxContent>
                  <w:p>
                    <w:pPr>
                      <w:pStyle w:val="6"/>
                      <w:rPr>
                        <w:rFonts w:cs="Times New Roman"/>
                      </w:rPr>
                    </w:pPr>
                    <w:r>
                      <w:fldChar w:fldCharType="begin"/>
                    </w:r>
                    <w:r>
                      <w:instrText xml:space="preserve"> PAGE  \* MERGEFORMAT </w:instrText>
                    </w:r>
                    <w:r>
                      <w:fldChar w:fldCharType="separate"/>
                    </w:r>
                    <w:r>
                      <w:t>8</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MDQ0ZmUyMmE4NjNkYzQ5NmQyMDFmYzM3ZDFjYjMifQ=="/>
  </w:docVars>
  <w:rsids>
    <w:rsidRoot w:val="5CAE6C0C"/>
    <w:rsid w:val="0008119A"/>
    <w:rsid w:val="001476D3"/>
    <w:rsid w:val="001A7819"/>
    <w:rsid w:val="00277DA3"/>
    <w:rsid w:val="002D62C5"/>
    <w:rsid w:val="003D20E2"/>
    <w:rsid w:val="003E0F2B"/>
    <w:rsid w:val="00462F2A"/>
    <w:rsid w:val="00521F9E"/>
    <w:rsid w:val="00584F42"/>
    <w:rsid w:val="006D3744"/>
    <w:rsid w:val="009956B4"/>
    <w:rsid w:val="00A77BE9"/>
    <w:rsid w:val="00A8358F"/>
    <w:rsid w:val="00B72E20"/>
    <w:rsid w:val="00C84C3F"/>
    <w:rsid w:val="00E721AD"/>
    <w:rsid w:val="00E87837"/>
    <w:rsid w:val="00EC1235"/>
    <w:rsid w:val="00F413AF"/>
    <w:rsid w:val="00FC58F2"/>
    <w:rsid w:val="00FE07B4"/>
    <w:rsid w:val="04376716"/>
    <w:rsid w:val="04EF6F26"/>
    <w:rsid w:val="0509079E"/>
    <w:rsid w:val="055834BD"/>
    <w:rsid w:val="092D7938"/>
    <w:rsid w:val="099D0853"/>
    <w:rsid w:val="0F5931AC"/>
    <w:rsid w:val="1060501F"/>
    <w:rsid w:val="13C37FAD"/>
    <w:rsid w:val="158717DE"/>
    <w:rsid w:val="1C541916"/>
    <w:rsid w:val="1C9C0D64"/>
    <w:rsid w:val="1F25498A"/>
    <w:rsid w:val="1FE06EDA"/>
    <w:rsid w:val="20BF0C96"/>
    <w:rsid w:val="23A43F1E"/>
    <w:rsid w:val="247A7535"/>
    <w:rsid w:val="291E3A57"/>
    <w:rsid w:val="2B966294"/>
    <w:rsid w:val="2D056EB9"/>
    <w:rsid w:val="2EEF6BEA"/>
    <w:rsid w:val="2F141ECB"/>
    <w:rsid w:val="30D760EA"/>
    <w:rsid w:val="31BD1E29"/>
    <w:rsid w:val="34E116D1"/>
    <w:rsid w:val="36E96615"/>
    <w:rsid w:val="388303A3"/>
    <w:rsid w:val="39777D97"/>
    <w:rsid w:val="3A1D74FB"/>
    <w:rsid w:val="3BD52EB9"/>
    <w:rsid w:val="3D5C61B8"/>
    <w:rsid w:val="3EDD0AFD"/>
    <w:rsid w:val="415E7BFF"/>
    <w:rsid w:val="48452B47"/>
    <w:rsid w:val="510A06AA"/>
    <w:rsid w:val="5117007E"/>
    <w:rsid w:val="53DA6F36"/>
    <w:rsid w:val="5AB04BD0"/>
    <w:rsid w:val="5BCE3B6D"/>
    <w:rsid w:val="5CAE6C0C"/>
    <w:rsid w:val="5FB610B3"/>
    <w:rsid w:val="625048C9"/>
    <w:rsid w:val="633B34A5"/>
    <w:rsid w:val="6342609A"/>
    <w:rsid w:val="66155561"/>
    <w:rsid w:val="69760E45"/>
    <w:rsid w:val="6B9C1345"/>
    <w:rsid w:val="6FC203E7"/>
    <w:rsid w:val="710E2608"/>
    <w:rsid w:val="71EC253A"/>
    <w:rsid w:val="74ED239F"/>
    <w:rsid w:val="756143C4"/>
    <w:rsid w:val="7A924C9E"/>
    <w:rsid w:val="7AB620DF"/>
    <w:rsid w:val="7AF23F19"/>
    <w:rsid w:val="7CCC0AAB"/>
    <w:rsid w:val="7FE209D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00" w:lineRule="exact"/>
      <w:jc w:val="both"/>
    </w:pPr>
    <w:rPr>
      <w:rFonts w:ascii="宋体" w:hAnsi="宋体" w:eastAsia="宋体" w:cs="宋体"/>
      <w:b/>
      <w:bCs/>
      <w:kern w:val="2"/>
      <w:sz w:val="28"/>
      <w:szCs w:val="28"/>
      <w:lang w:val="en-US" w:eastAsia="zh-CN" w:bidi="ar-SA"/>
    </w:rPr>
  </w:style>
  <w:style w:type="paragraph" w:styleId="2">
    <w:name w:val="heading 2"/>
    <w:basedOn w:val="1"/>
    <w:next w:val="1"/>
    <w:link w:val="12"/>
    <w:autoRedefine/>
    <w:qFormat/>
    <w:uiPriority w:val="99"/>
    <w:pPr>
      <w:keepNext/>
      <w:keepLines/>
      <w:spacing w:before="260" w:after="260" w:line="415" w:lineRule="auto"/>
      <w:outlineLvl w:val="1"/>
    </w:pPr>
    <w:rPr>
      <w:rFonts w:ascii="文泉驿正黑" w:hAnsi="文泉驿正黑" w:eastAsia="黑体" w:cs="文泉驿正黑"/>
      <w:b w:val="0"/>
      <w:bCs w:val="0"/>
      <w:sz w:val="32"/>
      <w:szCs w:val="32"/>
    </w:rPr>
  </w:style>
  <w:style w:type="character" w:default="1" w:styleId="9">
    <w:name w:val="Default Paragraph Font"/>
    <w:autoRedefine/>
    <w:semiHidden/>
    <w:qFormat/>
    <w:uiPriority w:val="99"/>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semiHidden/>
    <w:unhideWhenUsed/>
    <w:qFormat/>
    <w:uiPriority w:val="99"/>
    <w:pPr>
      <w:jc w:val="left"/>
    </w:pPr>
  </w:style>
  <w:style w:type="paragraph" w:styleId="4">
    <w:name w:val="Plain Text"/>
    <w:basedOn w:val="1"/>
    <w:link w:val="13"/>
    <w:autoRedefine/>
    <w:qFormat/>
    <w:uiPriority w:val="99"/>
    <w:rPr>
      <w:rFonts w:hAnsi="Courier New"/>
      <w:sz w:val="21"/>
      <w:szCs w:val="21"/>
    </w:rPr>
  </w:style>
  <w:style w:type="paragraph" w:styleId="5">
    <w:name w:val="Balloon Text"/>
    <w:basedOn w:val="1"/>
    <w:link w:val="18"/>
    <w:autoRedefine/>
    <w:semiHidden/>
    <w:qFormat/>
    <w:uiPriority w:val="99"/>
    <w:rPr>
      <w:sz w:val="18"/>
      <w:szCs w:val="18"/>
    </w:rPr>
  </w:style>
  <w:style w:type="paragraph" w:styleId="6">
    <w:name w:val="footer"/>
    <w:basedOn w:val="1"/>
    <w:link w:val="14"/>
    <w:autoRedefine/>
    <w:qFormat/>
    <w:uiPriority w:val="99"/>
    <w:pPr>
      <w:tabs>
        <w:tab w:val="center" w:pos="4153"/>
        <w:tab w:val="right" w:pos="8306"/>
      </w:tabs>
      <w:snapToGrid w:val="0"/>
      <w:jc w:val="left"/>
    </w:pPr>
    <w:rPr>
      <w:sz w:val="18"/>
      <w:szCs w:val="18"/>
    </w:rPr>
  </w:style>
  <w:style w:type="paragraph" w:styleId="7">
    <w:name w:val="Normal (Web)"/>
    <w:basedOn w:val="1"/>
    <w:autoRedefine/>
    <w:qFormat/>
    <w:uiPriority w:val="99"/>
    <w:rPr>
      <w:sz w:val="24"/>
      <w:szCs w:val="24"/>
    </w:rPr>
  </w:style>
  <w:style w:type="character" w:styleId="10">
    <w:name w:val="Strong"/>
    <w:basedOn w:val="9"/>
    <w:autoRedefine/>
    <w:qFormat/>
    <w:uiPriority w:val="99"/>
    <w:rPr>
      <w:b/>
      <w:bCs/>
    </w:rPr>
  </w:style>
  <w:style w:type="character" w:styleId="11">
    <w:name w:val="Hyperlink"/>
    <w:basedOn w:val="9"/>
    <w:autoRedefine/>
    <w:qFormat/>
    <w:uiPriority w:val="99"/>
    <w:rPr>
      <w:color w:val="0000FF"/>
      <w:u w:val="single"/>
    </w:rPr>
  </w:style>
  <w:style w:type="character" w:customStyle="1" w:styleId="12">
    <w:name w:val="Heading 2 Char"/>
    <w:basedOn w:val="9"/>
    <w:link w:val="2"/>
    <w:autoRedefine/>
    <w:semiHidden/>
    <w:qFormat/>
    <w:locked/>
    <w:uiPriority w:val="99"/>
    <w:rPr>
      <w:rFonts w:ascii="Cambria" w:hAnsi="Cambria" w:eastAsia="宋体" w:cs="Cambria"/>
      <w:b/>
      <w:bCs/>
      <w:sz w:val="32"/>
      <w:szCs w:val="32"/>
    </w:rPr>
  </w:style>
  <w:style w:type="character" w:customStyle="1" w:styleId="13">
    <w:name w:val="Plain Text Char"/>
    <w:basedOn w:val="9"/>
    <w:link w:val="4"/>
    <w:autoRedefine/>
    <w:semiHidden/>
    <w:qFormat/>
    <w:locked/>
    <w:uiPriority w:val="99"/>
    <w:rPr>
      <w:rFonts w:ascii="宋体" w:hAnsi="Courier New" w:cs="宋体"/>
      <w:b/>
      <w:bCs/>
      <w:sz w:val="21"/>
      <w:szCs w:val="21"/>
    </w:rPr>
  </w:style>
  <w:style w:type="character" w:customStyle="1" w:styleId="14">
    <w:name w:val="Footer Char"/>
    <w:basedOn w:val="9"/>
    <w:link w:val="6"/>
    <w:autoRedefine/>
    <w:semiHidden/>
    <w:qFormat/>
    <w:locked/>
    <w:uiPriority w:val="99"/>
    <w:rPr>
      <w:sz w:val="18"/>
      <w:szCs w:val="18"/>
    </w:rPr>
  </w:style>
  <w:style w:type="paragraph" w:customStyle="1" w:styleId="15">
    <w:name w:val="Index5"/>
    <w:basedOn w:val="1"/>
    <w:next w:val="1"/>
    <w:autoRedefine/>
    <w:qFormat/>
    <w:uiPriority w:val="99"/>
    <w:pPr>
      <w:ind w:left="1680" w:firstLine="200" w:firstLineChars="200"/>
      <w:jc w:val="left"/>
      <w:textAlignment w:val="baseline"/>
    </w:pPr>
    <w:rPr>
      <w:rFonts w:ascii="Times New Roman" w:hAnsi="Times New Roman" w:eastAsia="仿宋_GB2312" w:cs="Times New Roman"/>
      <w:sz w:val="32"/>
      <w:szCs w:val="32"/>
    </w:rPr>
  </w:style>
  <w:style w:type="paragraph" w:customStyle="1" w:styleId="16">
    <w:name w:val="null3"/>
    <w:autoRedefine/>
    <w:hidden/>
    <w:qFormat/>
    <w:uiPriority w:val="99"/>
    <w:rPr>
      <w:rFonts w:ascii="Calibri" w:hAnsi="Calibri" w:eastAsia="宋体" w:cs="Calibri"/>
      <w:kern w:val="0"/>
      <w:sz w:val="20"/>
      <w:szCs w:val="20"/>
      <w:lang w:val="en-US" w:eastAsia="zh-CN" w:bidi="ar-SA"/>
    </w:rPr>
  </w:style>
  <w:style w:type="paragraph" w:customStyle="1" w:styleId="17">
    <w:name w:val="样式3"/>
    <w:basedOn w:val="4"/>
    <w:autoRedefine/>
    <w:qFormat/>
    <w:uiPriority w:val="99"/>
    <w:pPr>
      <w:spacing w:line="240" w:lineRule="atLeast"/>
      <w:outlineLvl w:val="0"/>
    </w:pPr>
    <w:rPr>
      <w:b w:val="0"/>
      <w:bCs w:val="0"/>
      <w:sz w:val="28"/>
      <w:szCs w:val="28"/>
    </w:rPr>
  </w:style>
  <w:style w:type="character" w:customStyle="1" w:styleId="18">
    <w:name w:val="Balloon Text Char"/>
    <w:basedOn w:val="9"/>
    <w:link w:val="5"/>
    <w:autoRedefine/>
    <w:semiHidden/>
    <w:qFormat/>
    <w:uiPriority w:val="99"/>
    <w:rPr>
      <w:rFonts w:ascii="宋体" w:hAnsi="宋体" w:cs="宋体"/>
      <w:b/>
      <w:bCs/>
      <w:sz w:val="0"/>
      <w:szCs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www.ftpdown.com</Company>
  <Pages>8</Pages>
  <Words>645</Words>
  <Characters>3681</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2023-10-26T03:40:00Z</dcterms:created>
  <dc:creator>sindy</dc:creator>
  <cp:lastModifiedBy>sindy</cp:lastModifiedBy>
  <cp:lastPrinted>2024-03-04T06:44:07Z</cp:lastPrinted>
  <dcterms:modified xsi:type="dcterms:W3CDTF">2024-03-04T07:10:33Z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940C220C736841F19F8E41166B53376F_13</vt:lpwstr>
  </property>
</Properties>
</file>