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tbl>
      <w:tblPr>
        <w:tblStyle w:val="17"/>
        <w:tblW w:w="136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77"/>
        <w:gridCol w:w="1067"/>
        <w:gridCol w:w="1086"/>
        <w:gridCol w:w="2018"/>
        <w:gridCol w:w="1352"/>
        <w:gridCol w:w="904"/>
        <w:gridCol w:w="1158"/>
        <w:gridCol w:w="1046"/>
        <w:gridCol w:w="1098"/>
        <w:gridCol w:w="814"/>
        <w:gridCol w:w="912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5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华文中宋" w:hAnsi="华文中宋" w:eastAsia="华文中宋" w:cs="华文中宋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u w:val="none"/>
                <w:lang w:val="en-US" w:eastAsia="zh-CN"/>
              </w:rPr>
              <w:t>截至x月重大隐患问题整改清单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所在港区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企业（项目）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重大隐患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隐患来源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责任单位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责任人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发现日期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整改进展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企业自查/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地市检查/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省级督导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1道路运输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企业自查/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地市检查/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省级督导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2城市公交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52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1.隐患来源、所属领域为下拉选项；日期统一用数字，如20230504。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2.每月26日表报送2类数据：（1）新增重大隐患清单；（2）整改情况、整改完成时间更新的重大隐患清单（更新部分标红）。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/>
          <w:color w:val="auto"/>
          <w:u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17" w:left="1701" w:header="0" w:footer="90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 w:start="20"/>
          <w:cols w:space="0" w:num="1"/>
          <w:rtlGutter w:val="0"/>
          <w:docGrid w:type="lines" w:linePitch="566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重大事故隐患专项排查整治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2023行动进展情况调度表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beforeLines="10" w:after="56" w:afterLines="10" w:line="240" w:lineRule="exact"/>
        <w:rPr>
          <w:rFonts w:hint="eastAsia" w:ascii="宋体" w:hAnsi="宋体" w:eastAsia="楷体_GB2312" w:cs="楷体_GB2312"/>
          <w:b/>
          <w:color w:val="auto"/>
          <w:sz w:val="2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beforeLines="10" w:after="56" w:afterLines="10" w:line="240" w:lineRule="exact"/>
        <w:rPr>
          <w:rFonts w:ascii="宋体" w:hAnsi="宋体" w:eastAsia="楷体_GB2312" w:cs="楷体_GB2312"/>
          <w:b/>
          <w:color w:val="auto"/>
          <w:sz w:val="24"/>
          <w:u w:val="none"/>
        </w:rPr>
      </w:pPr>
      <w:r>
        <w:rPr>
          <w:rFonts w:hint="eastAsia" w:ascii="宋体" w:hAnsi="宋体" w:eastAsia="楷体_GB2312" w:cs="楷体_GB2312"/>
          <w:b/>
          <w:color w:val="auto"/>
          <w:sz w:val="24"/>
          <w:u w:val="none"/>
          <w:lang w:val="en-US" w:eastAsia="zh-CN"/>
        </w:rPr>
        <w:t>单位</w:t>
      </w:r>
      <w:r>
        <w:rPr>
          <w:rFonts w:hint="eastAsia" w:ascii="宋体" w:hAnsi="宋体" w:eastAsia="楷体_GB2312" w:cs="楷体_GB2312"/>
          <w:b/>
          <w:color w:val="auto"/>
          <w:sz w:val="24"/>
          <w:u w:val="none"/>
        </w:rPr>
        <w:t>___________</w:t>
      </w:r>
      <w:r>
        <w:rPr>
          <w:rFonts w:hint="eastAsia" w:ascii="宋体" w:hAnsi="宋体" w:eastAsia="楷体_GB2312" w:cs="楷体_GB2312"/>
          <w:b/>
          <w:color w:val="auto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楷体_GB2312" w:cs="楷体_GB2312"/>
          <w:b/>
          <w:color w:val="auto"/>
          <w:sz w:val="24"/>
          <w:u w:val="none"/>
        </w:rPr>
        <w:t xml:space="preserve">               </w:t>
      </w:r>
      <w:r>
        <w:rPr>
          <w:rFonts w:hint="eastAsia" w:ascii="宋体" w:hAnsi="宋体" w:eastAsia="楷体_GB2312" w:cs="楷体_GB2312"/>
          <w:b/>
          <w:color w:val="auto"/>
          <w:sz w:val="24"/>
          <w:u w:val="none"/>
          <w:lang w:val="en-US" w:eastAsia="zh-CN"/>
        </w:rPr>
        <w:t xml:space="preserve">               </w:t>
      </w:r>
      <w:r>
        <w:rPr>
          <w:rFonts w:hint="eastAsia" w:ascii="宋体" w:hAnsi="宋体" w:eastAsia="楷体_GB2312" w:cs="楷体_GB2312"/>
          <w:b/>
          <w:color w:val="auto"/>
          <w:sz w:val="24"/>
          <w:u w:val="none"/>
        </w:rPr>
        <w:t>时间：2023年   月   日</w:t>
      </w:r>
    </w:p>
    <w:tbl>
      <w:tblPr>
        <w:tblStyle w:val="17"/>
        <w:tblW w:w="9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80"/>
        <w:gridCol w:w="2767"/>
        <w:gridCol w:w="767"/>
        <w:gridCol w:w="421"/>
        <w:gridCol w:w="2835"/>
        <w:gridCol w:w="386"/>
        <w:gridCol w:w="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企业自查发现的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企业自查发现重大事故隐患中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已完成整改的（个）</w:t>
            </w:r>
          </w:p>
        </w:tc>
        <w:tc>
          <w:tcPr>
            <w:tcW w:w="7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部门检查发现的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部门检查发现重大事故隐患中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已完成整改的（个）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挂牌督办的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挂牌督办重大事故隐患中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已完成整改的（个）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对</w:t>
            </w: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自查自改</w:t>
            </w:r>
            <w:r>
              <w:rPr>
                <w:rFonts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进行抽查检查</w:t>
            </w: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部门抽查检查的企业总数（家）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主要负责人未按要求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亲自研究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排查整治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（家）</w:t>
            </w:r>
          </w:p>
        </w:tc>
        <w:tc>
          <w:tcPr>
            <w:tcW w:w="7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企业主要负责人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未带队检查（家）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企业未制定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分管负责人职责清单（家）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企业未依法建立安全管理机构和配足安全管理人员（家）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电焊等特种作业岗位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人员无证上岗作业（家）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外包外租安全管理混乱（家）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未按规定开展应急演练、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员工不熟悉逃生出口（家）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精准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严格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color w:val="auto"/>
                <w:kern w:val="0"/>
                <w:sz w:val="24"/>
                <w:szCs w:val="24"/>
                <w:u w:val="none"/>
                <w:lang w:bidi="ar"/>
              </w:rPr>
              <w:t>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帮扶指导重点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港区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（个次）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帮扶指导重点企业（家次）</w:t>
            </w:r>
          </w:p>
        </w:tc>
        <w:tc>
          <w:tcPr>
            <w:tcW w:w="7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行政处罚（次，万元）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企业和企业主要负责人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“一案双罚”（次）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移送司法机关（人）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责令停产整顿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（家）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曝光、约谈、联合惩戒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企业（家）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  <w:lang w:val="en"/>
              </w:rPr>
            </w:pPr>
            <w:r>
              <w:rPr>
                <w:rFonts w:ascii="宋体" w:hAnsi="宋体" w:cs="宋体"/>
                <w:b/>
                <w:color w:val="auto"/>
                <w:sz w:val="21"/>
                <w:szCs w:val="21"/>
                <w:u w:val="none"/>
                <w:lang w:val="en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公布典型执法案例（个），其中危险作业罪案例（个）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hAnsi="仿宋_GB2312" w:cs="仿宋_GB2312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  <w:u w:val="none"/>
              </w:rPr>
              <w:t>市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u w:val="none"/>
              </w:rPr>
            </w:pPr>
          </w:p>
        </w:tc>
        <w:tc>
          <w:tcPr>
            <w:tcW w:w="2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u w:val="none"/>
              </w:rPr>
            </w:pPr>
          </w:p>
        </w:tc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hAnsi="仿宋_GB2312" w:cs="仿宋_GB2312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hAnsi="仿宋_GB2312" w:cs="仿宋_GB2312"/>
                <w:b/>
                <w:color w:val="auto"/>
                <w:sz w:val="21"/>
                <w:szCs w:val="21"/>
                <w:u w:val="none"/>
              </w:rPr>
              <w:t>县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黑体" w:cs="黑体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责任倒查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追责问责（人）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约谈通报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有关地区及部门（次）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其他相关工作跟踪落实情况</w:t>
            </w:r>
          </w:p>
        </w:tc>
        <w:tc>
          <w:tcPr>
            <w:tcW w:w="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分管（联系）本部门的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领导现场督导检查（次）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本部门负责同志到企业宣讲（次）</w:t>
            </w:r>
          </w:p>
        </w:tc>
        <w:tc>
          <w:tcPr>
            <w:tcW w:w="7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3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组织开展本系统安全生产监管执法人员专题培训（人次）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举报奖励（万元），其中匿名举报查实奖励（万元）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u w:val="none"/>
                <w:lang w:bidi="ar"/>
              </w:rPr>
              <w:t>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</w:p>
        </w:tc>
        <w:tc>
          <w:tcPr>
            <w:tcW w:w="2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u w:val="none"/>
                <w:lang w:bidi="ar"/>
              </w:rPr>
              <w:t>匿名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组织开展考核巡查督导检查（次）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5"/>
                <w:szCs w:val="15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级主流媒体播放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安全生产专题栏目（次）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牵头建立部门间信息共享、联合执法检查、联合信用监管等协同机制的制度成果数量（个）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val="en" w:bidi="ar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u w:val="none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rPr>
          <w:rFonts w:hint="eastAsia" w:hAnsi="仿宋_GB2312" w:cs="仿宋_GB2312"/>
          <w:bCs/>
          <w:color w:val="auto"/>
          <w:sz w:val="21"/>
          <w:szCs w:val="21"/>
          <w:u w:val="none"/>
        </w:rPr>
      </w:pP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注：1.省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  <w:lang w:val="en-US" w:eastAsia="zh-CN"/>
        </w:rPr>
        <w:t>厅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对各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  <w:lang w:val="en-US" w:eastAsia="zh-CN"/>
        </w:rPr>
        <w:t>港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工作进展情况进行月调度。调度表自6月份开始上报，每月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  <w:lang w:val="en-US" w:eastAsia="zh-CN"/>
        </w:rPr>
        <w:t>26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日前上报截至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  <w:lang w:val="en-US" w:eastAsia="zh-CN"/>
        </w:rPr>
        <w:t>本</w:t>
      </w: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月末的累计情况。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contextualSpacing/>
        <w:rPr>
          <w:rFonts w:hint="eastAsia" w:hAnsi="仿宋_GB2312" w:cs="仿宋_GB2312"/>
          <w:bCs/>
          <w:color w:val="auto"/>
          <w:sz w:val="21"/>
          <w:szCs w:val="21"/>
          <w:u w:val="none"/>
        </w:rPr>
      </w:pP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2.调度表内容应围绕专项排查整治工作并对照方案具体要求如实填报，特别是对企业自查情况进行抽查检查时，要深挖细查，查出真问题。如：电焊等人员无证上岗作业，既要通过现场检查发现问题，也要通过对企业动火等特种作业存单进行检查核实来发现问题；外包外租管理混乱，是指符合以下情形之一的：承包承租方不具备安全生产条件、未取得相应资质，双方未签订安全生产协议，安全生产管理职责不清，未纳入本企业统一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contextualSpacing/>
        <w:rPr>
          <w:rFonts w:hint="eastAsia" w:ascii="宋体" w:hAnsi="宋体" w:eastAsia="楷体_GB2312" w:cs="楷体_GB2312"/>
          <w:b/>
          <w:color w:val="auto"/>
          <w:sz w:val="24"/>
          <w:u w:val="none"/>
          <w:lang w:eastAsia="zh-CN"/>
        </w:rPr>
      </w:pPr>
      <w:r>
        <w:rPr>
          <w:rFonts w:hint="eastAsia" w:hAnsi="仿宋_GB2312" w:cs="仿宋_GB2312"/>
          <w:bCs/>
          <w:color w:val="auto"/>
          <w:sz w:val="21"/>
          <w:szCs w:val="21"/>
          <w:u w:val="none"/>
        </w:rPr>
        <w:t>3.调度表中明确提出市、县（市、区）两级的有关事项需要分开进行统计上报。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rPr>
          <w:rFonts w:hint="eastAsia" w:hAnsi="仿宋_GB2312" w:cs="仿宋_GB2312"/>
          <w:bCs/>
          <w:color w:val="auto"/>
          <w:sz w:val="21"/>
          <w:szCs w:val="21"/>
          <w:u w:val="none"/>
        </w:rPr>
        <w:sectPr>
          <w:footerReference r:id="rId5" w:type="default"/>
          <w:pgSz w:w="11906" w:h="16838"/>
          <w:pgMar w:top="1417" w:right="1701" w:bottom="1417" w:left="1701" w:header="0" w:footer="90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 w:start="21"/>
          <w:cols w:space="0" w:num="1"/>
          <w:rtlGutter w:val="0"/>
          <w:docGrid w:type="lines" w:linePitch="566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安全生产重大风险“一张表”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eastAsia"/>
          <w:color w:val="auto"/>
          <w:u w:val="none"/>
        </w:rPr>
      </w:pPr>
    </w:p>
    <w:tbl>
      <w:tblPr>
        <w:tblStyle w:val="17"/>
        <w:tblW w:w="12728" w:type="dxa"/>
        <w:tblInd w:w="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38"/>
        <w:gridCol w:w="2613"/>
        <w:gridCol w:w="1283"/>
        <w:gridCol w:w="1334"/>
        <w:gridCol w:w="4183"/>
        <w:gridCol w:w="903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重大风险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所属企业或所在位置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直接监管部门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风险简述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管控情况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1.道路运输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风险2：省际包车车辆碰撞风险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受控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xx市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contextualSpacing/>
        <w:rPr>
          <w:rFonts w:hint="eastAsia" w:hAnsi="仿宋_GB2312" w:cs="仿宋_GB2312"/>
          <w:bCs/>
          <w:color w:val="auto"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contextualSpacing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contextualSpacing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1.重大风险辨识管控依据《福建省交通运输厅关于深化安全生产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防范化解重大风险工作的通知》（闽交安〔2021〕4号）；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contextualSpacing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2.行业领域、重大风险为下拉选项；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contextualSpacing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3.请于6月28日前、11月28日前分别报送辖区重大风险动态更新情况。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6" w:type="default"/>
      <w:pgSz w:w="16838" w:h="11906" w:orient="landscape"/>
      <w:pgMar w:top="1417" w:right="1701" w:bottom="1417" w:left="1701" w:header="0" w:footer="90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23"/>
      <w:cols w:space="0" w:num="1"/>
      <w:rtlGutter w:val="0"/>
      <w:docGrid w:type="lines" w:linePitch="5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dit="readOnly" w:enforcement="0"/>
  <w:defaultTabStop w:val="420"/>
  <w:hyphenationZone w:val="360"/>
  <w:drawingGridVerticalSpacing w:val="28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TkzMDI2MTdlZmM0ZTEyNDFhM2Y4NzhjMGFjY2QifQ=="/>
  </w:docVars>
  <w:rsids>
    <w:rsidRoot w:val="7F3FE35E"/>
    <w:rsid w:val="00505B05"/>
    <w:rsid w:val="0060280D"/>
    <w:rsid w:val="008868D3"/>
    <w:rsid w:val="00A4095C"/>
    <w:rsid w:val="00D62D51"/>
    <w:rsid w:val="00D62EB6"/>
    <w:rsid w:val="00DE064F"/>
    <w:rsid w:val="00E172A5"/>
    <w:rsid w:val="01671BDD"/>
    <w:rsid w:val="01844C20"/>
    <w:rsid w:val="072B5400"/>
    <w:rsid w:val="07FD3CAB"/>
    <w:rsid w:val="090A5153"/>
    <w:rsid w:val="0F8A472C"/>
    <w:rsid w:val="0F932AFB"/>
    <w:rsid w:val="159B3499"/>
    <w:rsid w:val="17DE5CBD"/>
    <w:rsid w:val="1AB80784"/>
    <w:rsid w:val="1BFCE82F"/>
    <w:rsid w:val="1D4C0662"/>
    <w:rsid w:val="1DEC4565"/>
    <w:rsid w:val="1E7F223F"/>
    <w:rsid w:val="1EC45BC6"/>
    <w:rsid w:val="1EFDFED2"/>
    <w:rsid w:val="1F4E2C1D"/>
    <w:rsid w:val="208E7D76"/>
    <w:rsid w:val="22FD3CF7"/>
    <w:rsid w:val="230669DF"/>
    <w:rsid w:val="236C243A"/>
    <w:rsid w:val="25AA6157"/>
    <w:rsid w:val="29507606"/>
    <w:rsid w:val="29551A28"/>
    <w:rsid w:val="2BBECB70"/>
    <w:rsid w:val="2BFBD464"/>
    <w:rsid w:val="2C1D0F66"/>
    <w:rsid w:val="2FF533B9"/>
    <w:rsid w:val="2FFE0A9B"/>
    <w:rsid w:val="317B6028"/>
    <w:rsid w:val="31BD9AF1"/>
    <w:rsid w:val="33AD59BB"/>
    <w:rsid w:val="350D6E56"/>
    <w:rsid w:val="3576C834"/>
    <w:rsid w:val="35EFB9C4"/>
    <w:rsid w:val="35F0442F"/>
    <w:rsid w:val="35FF8D17"/>
    <w:rsid w:val="36FFD09A"/>
    <w:rsid w:val="37FFBE18"/>
    <w:rsid w:val="3BC7887F"/>
    <w:rsid w:val="3C7844DA"/>
    <w:rsid w:val="3DF6815B"/>
    <w:rsid w:val="3F2D1E6D"/>
    <w:rsid w:val="3F3B092F"/>
    <w:rsid w:val="3F6F4B37"/>
    <w:rsid w:val="3F73407D"/>
    <w:rsid w:val="3FBFB4B9"/>
    <w:rsid w:val="3FFDEC43"/>
    <w:rsid w:val="44492BA7"/>
    <w:rsid w:val="475AD37E"/>
    <w:rsid w:val="4A9D3306"/>
    <w:rsid w:val="4DA37818"/>
    <w:rsid w:val="4DAE350A"/>
    <w:rsid w:val="4DED506C"/>
    <w:rsid w:val="4FD6D9E9"/>
    <w:rsid w:val="50F63ABD"/>
    <w:rsid w:val="5144296E"/>
    <w:rsid w:val="537B0A2E"/>
    <w:rsid w:val="56D977A2"/>
    <w:rsid w:val="57EDECDE"/>
    <w:rsid w:val="58364DE2"/>
    <w:rsid w:val="5F7DD9A9"/>
    <w:rsid w:val="5F9B3ACC"/>
    <w:rsid w:val="5F9E184B"/>
    <w:rsid w:val="5FBA447D"/>
    <w:rsid w:val="62E3447B"/>
    <w:rsid w:val="637F1C56"/>
    <w:rsid w:val="63FFE4B5"/>
    <w:rsid w:val="669F00DA"/>
    <w:rsid w:val="677EB306"/>
    <w:rsid w:val="697FAA9A"/>
    <w:rsid w:val="69B74568"/>
    <w:rsid w:val="69F30700"/>
    <w:rsid w:val="6B6D2F75"/>
    <w:rsid w:val="6E68F9EC"/>
    <w:rsid w:val="6EFF6777"/>
    <w:rsid w:val="6F864D04"/>
    <w:rsid w:val="6FB5C66A"/>
    <w:rsid w:val="6FDF3194"/>
    <w:rsid w:val="6FEFF6A6"/>
    <w:rsid w:val="72F7DD93"/>
    <w:rsid w:val="735FDC89"/>
    <w:rsid w:val="73B927DE"/>
    <w:rsid w:val="73FF683B"/>
    <w:rsid w:val="75B86A6B"/>
    <w:rsid w:val="75F264D6"/>
    <w:rsid w:val="75FF8602"/>
    <w:rsid w:val="762FB015"/>
    <w:rsid w:val="76DDBCF3"/>
    <w:rsid w:val="76FFBA6B"/>
    <w:rsid w:val="7797CACB"/>
    <w:rsid w:val="77DB648E"/>
    <w:rsid w:val="77F77F6D"/>
    <w:rsid w:val="77FD7A5F"/>
    <w:rsid w:val="78921FAF"/>
    <w:rsid w:val="78FFC96A"/>
    <w:rsid w:val="793D8224"/>
    <w:rsid w:val="79CF236A"/>
    <w:rsid w:val="79FF2FAA"/>
    <w:rsid w:val="79FF9F16"/>
    <w:rsid w:val="7ACE1A6C"/>
    <w:rsid w:val="7AFE098B"/>
    <w:rsid w:val="7B2D7ED8"/>
    <w:rsid w:val="7B3B0DAF"/>
    <w:rsid w:val="7B5290FE"/>
    <w:rsid w:val="7BCF5B01"/>
    <w:rsid w:val="7BDFEBCF"/>
    <w:rsid w:val="7BEC019A"/>
    <w:rsid w:val="7BFCF05F"/>
    <w:rsid w:val="7CBCC83B"/>
    <w:rsid w:val="7DB32CF9"/>
    <w:rsid w:val="7DBFF681"/>
    <w:rsid w:val="7DC94A68"/>
    <w:rsid w:val="7DFD6C1A"/>
    <w:rsid w:val="7DFF0478"/>
    <w:rsid w:val="7E5F5E25"/>
    <w:rsid w:val="7F3FE35E"/>
    <w:rsid w:val="7F69A2A9"/>
    <w:rsid w:val="7F6AA43F"/>
    <w:rsid w:val="7F6B2F68"/>
    <w:rsid w:val="7F71CC97"/>
    <w:rsid w:val="7F73AF0D"/>
    <w:rsid w:val="7F7551AF"/>
    <w:rsid w:val="7F774266"/>
    <w:rsid w:val="7FBBAFFC"/>
    <w:rsid w:val="7FBFC540"/>
    <w:rsid w:val="7FD3A4EF"/>
    <w:rsid w:val="7FD78F3C"/>
    <w:rsid w:val="7FF55BDA"/>
    <w:rsid w:val="7FFD6B06"/>
    <w:rsid w:val="7FFE130C"/>
    <w:rsid w:val="8CF95274"/>
    <w:rsid w:val="962FEB96"/>
    <w:rsid w:val="97DF859E"/>
    <w:rsid w:val="97FFDCD0"/>
    <w:rsid w:val="9B304DAB"/>
    <w:rsid w:val="9BB76914"/>
    <w:rsid w:val="9E6F8519"/>
    <w:rsid w:val="9FBD0006"/>
    <w:rsid w:val="9FBF199B"/>
    <w:rsid w:val="AC47D16F"/>
    <w:rsid w:val="B1FB3EAC"/>
    <w:rsid w:val="B3FFFE2D"/>
    <w:rsid w:val="B7FEF7AB"/>
    <w:rsid w:val="B87E6B88"/>
    <w:rsid w:val="B97F9A18"/>
    <w:rsid w:val="BAC38330"/>
    <w:rsid w:val="BAF9E884"/>
    <w:rsid w:val="BE6F9DAD"/>
    <w:rsid w:val="BEAC5554"/>
    <w:rsid w:val="BEF789BA"/>
    <w:rsid w:val="BEFA645A"/>
    <w:rsid w:val="BF6FC8ED"/>
    <w:rsid w:val="BFDE97BE"/>
    <w:rsid w:val="BFF58B96"/>
    <w:rsid w:val="BFF78961"/>
    <w:rsid w:val="BFFCBA55"/>
    <w:rsid w:val="BFFF26F8"/>
    <w:rsid w:val="C6EF15F2"/>
    <w:rsid w:val="C7B5625B"/>
    <w:rsid w:val="CDDA5D97"/>
    <w:rsid w:val="CDDE936C"/>
    <w:rsid w:val="CE36A4C8"/>
    <w:rsid w:val="CEFE15B5"/>
    <w:rsid w:val="CFA94DAD"/>
    <w:rsid w:val="CFEBE9B2"/>
    <w:rsid w:val="CFFC3D97"/>
    <w:rsid w:val="CFFE3FAA"/>
    <w:rsid w:val="DBFD8370"/>
    <w:rsid w:val="DCFF6E40"/>
    <w:rsid w:val="DF8B180D"/>
    <w:rsid w:val="DFBBECD9"/>
    <w:rsid w:val="DFBF9083"/>
    <w:rsid w:val="DFEF9D3D"/>
    <w:rsid w:val="E6B91473"/>
    <w:rsid w:val="E6DF931C"/>
    <w:rsid w:val="E7FBAC6E"/>
    <w:rsid w:val="E7FFC9A9"/>
    <w:rsid w:val="E7FFF5F9"/>
    <w:rsid w:val="ED7FA314"/>
    <w:rsid w:val="EDEF8404"/>
    <w:rsid w:val="EFCE3E83"/>
    <w:rsid w:val="F1DFCDF1"/>
    <w:rsid w:val="F1F314F4"/>
    <w:rsid w:val="F2DB7CE3"/>
    <w:rsid w:val="F2EE48ED"/>
    <w:rsid w:val="F2F96853"/>
    <w:rsid w:val="F36F7B17"/>
    <w:rsid w:val="F3A7D87D"/>
    <w:rsid w:val="F3BE82DA"/>
    <w:rsid w:val="F5BD266D"/>
    <w:rsid w:val="F5F9D65F"/>
    <w:rsid w:val="F5FF9532"/>
    <w:rsid w:val="F7B5E8D8"/>
    <w:rsid w:val="F7BD7408"/>
    <w:rsid w:val="F7FDB712"/>
    <w:rsid w:val="F7FEF7CC"/>
    <w:rsid w:val="F8FFC3D0"/>
    <w:rsid w:val="F9DFC1D1"/>
    <w:rsid w:val="FA5FF674"/>
    <w:rsid w:val="FB7ACA82"/>
    <w:rsid w:val="FBBD89A1"/>
    <w:rsid w:val="FBDF3B06"/>
    <w:rsid w:val="FBE41014"/>
    <w:rsid w:val="FCADC93E"/>
    <w:rsid w:val="FCFB83D2"/>
    <w:rsid w:val="FD3F70EF"/>
    <w:rsid w:val="FD5B1B90"/>
    <w:rsid w:val="FD7F6809"/>
    <w:rsid w:val="FD7FC472"/>
    <w:rsid w:val="FDBF72FB"/>
    <w:rsid w:val="FDDE500A"/>
    <w:rsid w:val="FE7F6371"/>
    <w:rsid w:val="FEB795FE"/>
    <w:rsid w:val="FEBFD784"/>
    <w:rsid w:val="FF17CFC1"/>
    <w:rsid w:val="FF59332F"/>
    <w:rsid w:val="FF5DC2E2"/>
    <w:rsid w:val="FF637256"/>
    <w:rsid w:val="FF6F11E9"/>
    <w:rsid w:val="FF9FBF22"/>
    <w:rsid w:val="FFAEC45F"/>
    <w:rsid w:val="FFFF14DC"/>
    <w:rsid w:val="FFFFE1B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3">
    <w:name w:val="Body Text First Indent"/>
    <w:basedOn w:val="4"/>
    <w:qFormat/>
    <w:uiPriority w:val="0"/>
    <w:pPr>
      <w:ind w:firstLine="100" w:firstLineChars="100"/>
      <w:jc w:val="left"/>
    </w:p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table of authorities"/>
    <w:basedOn w:val="1"/>
    <w:next w:val="1"/>
    <w:qFormat/>
    <w:uiPriority w:val="99"/>
    <w:pPr>
      <w:ind w:left="20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Body Text Indent"/>
    <w:basedOn w:val="1"/>
    <w:next w:val="6"/>
    <w:qFormat/>
    <w:uiPriority w:val="0"/>
    <w:pPr>
      <w:spacing w:line="240" w:lineRule="atLeast"/>
      <w:ind w:firstLine="280" w:firstLineChars="100"/>
    </w:pPr>
    <w:rPr>
      <w:rFonts w:ascii="华文中宋" w:hAnsi="华文中宋" w:eastAsia="华文中宋"/>
      <w:sz w:val="28"/>
      <w:szCs w:val="24"/>
    </w:rPr>
  </w:style>
  <w:style w:type="paragraph" w:styleId="8">
    <w:name w:val="HTML Address"/>
    <w:basedOn w:val="1"/>
    <w:unhideWhenUsed/>
    <w:qFormat/>
    <w:uiPriority w:val="99"/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2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</w:pPr>
    <w:rPr>
      <w:rFonts w:ascii="Times New Roman"/>
      <w:b/>
      <w:sz w:val="28"/>
      <w:szCs w:val="20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szCs w:val="2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正文 New Char"/>
    <w:link w:val="20"/>
    <w:qFormat/>
    <w:uiPriority w:val="0"/>
    <w:rPr>
      <w:rFonts w:ascii="仿宋_GB2312" w:hAnsi="永中宋体" w:eastAsia="仿宋_GB2312" w:cs="永中宋体"/>
      <w:bCs/>
      <w:sz w:val="32"/>
      <w:szCs w:val="32"/>
      <w:lang w:val="en-US" w:eastAsia="zh-CN" w:bidi="ar-SA"/>
    </w:rPr>
  </w:style>
  <w:style w:type="paragraph" w:customStyle="1" w:styleId="20">
    <w:name w:val="正文 New"/>
    <w:next w:val="8"/>
    <w:link w:val="19"/>
    <w:qFormat/>
    <w:uiPriority w:val="0"/>
    <w:pPr>
      <w:widowControl w:val="0"/>
      <w:jc w:val="both"/>
    </w:pPr>
    <w:rPr>
      <w:rFonts w:ascii="仿宋_GB2312" w:hAnsi="永中宋体" w:eastAsia="仿宋_GB2312" w:cs="永中宋体"/>
      <w:bCs/>
      <w:sz w:val="32"/>
      <w:szCs w:val="32"/>
      <w:lang w:val="en-US" w:eastAsia="zh-CN" w:bidi="ar-SA"/>
    </w:rPr>
  </w:style>
  <w:style w:type="paragraph" w:customStyle="1" w:styleId="21">
    <w:name w:val="正文首行缩进 21"/>
    <w:basedOn w:val="7"/>
    <w:qFormat/>
    <w:uiPriority w:val="0"/>
    <w:pPr>
      <w:spacing w:after="0"/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9900</Words>
  <Characters>10097</Characters>
  <Lines>80</Lines>
  <Paragraphs>22</Paragraphs>
  <ScaleCrop>false</ScaleCrop>
  <LinksUpToDate>false</LinksUpToDate>
  <CharactersWithSpaces>10144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2022-04-24T17:28:00Z</dcterms:created>
  <dc:creator>郑志峰</dc:creator>
  <cp:lastModifiedBy>Administrator</cp:lastModifiedBy>
  <cp:lastPrinted>2023-06-02T01:54:00Z</cp:lastPrinted>
  <dcterms:modified xsi:type="dcterms:W3CDTF">2023-12-12T02:21:01Z</dcterms:modified>
  <dc:title>中央和国家机关发电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49E9DB58C08D43AE880E11D55A767042_13</vt:lpwstr>
  </property>
</Properties>
</file>