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after="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报价回复函</w:t>
      </w:r>
    </w:p>
    <w:p>
      <w:pPr>
        <w:spacing w:after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泉州港引航站：</w:t>
      </w:r>
    </w:p>
    <w:p>
      <w:pPr>
        <w:spacing w:after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经充分了解了贵方提供的《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引航业务信息可视化平台服务采购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》的要求，现将《泉州港引航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站引航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业务信息可视化平台服务》项目报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回复如下：</w:t>
      </w:r>
    </w:p>
    <w:tbl>
      <w:tblPr>
        <w:tblStyle w:val="6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536"/>
        <w:gridCol w:w="156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9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453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服务需求</w:t>
            </w:r>
          </w:p>
        </w:tc>
        <w:tc>
          <w:tcPr>
            <w:tcW w:w="15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报价（万元）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一、引航动态调度监控排班系统服务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1.系统软件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2.云空间。</w:t>
            </w:r>
          </w:p>
        </w:tc>
        <w:tc>
          <w:tcPr>
            <w:tcW w:w="1565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3.功能模块：</w:t>
            </w:r>
          </w:p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(1).引航计划申报模块。</w:t>
            </w:r>
          </w:p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(2).船舶引航生产计划调度排班可视化模块。</w:t>
            </w:r>
          </w:p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(3).引航电子签单和船舶动态联动模块。</w:t>
            </w:r>
          </w:p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(4).引航费率计算模块。</w:t>
            </w:r>
          </w:p>
        </w:tc>
        <w:tc>
          <w:tcPr>
            <w:tcW w:w="1565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6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4.日常运维服务、功能优化和软件升级服务</w:t>
            </w:r>
          </w:p>
        </w:tc>
        <w:tc>
          <w:tcPr>
            <w:tcW w:w="1565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二、随身引航软件服务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 w:line="3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1.安装在Android、IOS和Windows等系统上的矢量电子海图船舶定位导航系统软件。</w:t>
            </w:r>
          </w:p>
        </w:tc>
        <w:tc>
          <w:tcPr>
            <w:tcW w:w="1565" w:type="dxa"/>
            <w:vMerge w:val="restart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2.云空间。</w:t>
            </w:r>
          </w:p>
        </w:tc>
        <w:tc>
          <w:tcPr>
            <w:tcW w:w="1565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3.AIS基站维护:湄洲湾、泉州湾、围头湾。</w:t>
            </w:r>
          </w:p>
        </w:tc>
        <w:tc>
          <w:tcPr>
            <w:tcW w:w="1565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4.水深蓝图与电子海图更新维护。</w:t>
            </w:r>
          </w:p>
        </w:tc>
        <w:tc>
          <w:tcPr>
            <w:tcW w:w="1565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5.日常运维服务、功能优化和软件升级服务。</w:t>
            </w:r>
          </w:p>
        </w:tc>
        <w:tc>
          <w:tcPr>
            <w:tcW w:w="1565" w:type="dxa"/>
            <w:vMerge w:val="continue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696" w:type="dxa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三、其他服务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其他服务：提供不限于表格内容中的其他功能服务；</w:t>
            </w:r>
          </w:p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售后服务：包括硬件维护、软件升级、功能优化等。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服务响应要求7×24小时。</w:t>
            </w:r>
          </w:p>
        </w:tc>
        <w:tc>
          <w:tcPr>
            <w:tcW w:w="1565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6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总计</w:t>
            </w:r>
          </w:p>
        </w:tc>
        <w:tc>
          <w:tcPr>
            <w:tcW w:w="7093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万元</w:t>
            </w:r>
          </w:p>
        </w:tc>
      </w:tr>
    </w:tbl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（盖章） </w:t>
      </w:r>
    </w:p>
    <w:p>
      <w:pPr>
        <w:ind w:right="-625" w:rightChars="-284" w:firstLine="320" w:firstLineChars="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</w:t>
      </w:r>
    </w:p>
    <w:p>
      <w:pPr>
        <w:ind w:right="-625" w:rightChars="-284" w:firstLine="1280" w:firstLineChars="4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法定代表人（或授权代表人）：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（签字）</w:t>
      </w:r>
    </w:p>
    <w:p>
      <w:pPr>
        <w:ind w:firstLine="321" w:firstLineChars="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年      月     日   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报价单位联系人：            联系电话： </w:t>
      </w:r>
    </w:p>
    <w:p>
      <w:pPr>
        <w:spacing w:after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iNTRhN2RjYjIzYzU1OGM1Mjc4ZDIwNTI0ZTAyMzkifQ=="/>
  </w:docVars>
  <w:rsids>
    <w:rsidRoot w:val="00373B48"/>
    <w:rsid w:val="000321D6"/>
    <w:rsid w:val="000D2BAE"/>
    <w:rsid w:val="00104B2F"/>
    <w:rsid w:val="00113CD6"/>
    <w:rsid w:val="00235A9C"/>
    <w:rsid w:val="002D605F"/>
    <w:rsid w:val="00373B48"/>
    <w:rsid w:val="003C222A"/>
    <w:rsid w:val="00410C29"/>
    <w:rsid w:val="00427A71"/>
    <w:rsid w:val="004416D5"/>
    <w:rsid w:val="0046693D"/>
    <w:rsid w:val="00536A62"/>
    <w:rsid w:val="0054023D"/>
    <w:rsid w:val="00560AEA"/>
    <w:rsid w:val="00563761"/>
    <w:rsid w:val="005774AE"/>
    <w:rsid w:val="00595EB8"/>
    <w:rsid w:val="005C462F"/>
    <w:rsid w:val="00642BC0"/>
    <w:rsid w:val="0068189F"/>
    <w:rsid w:val="00730ABF"/>
    <w:rsid w:val="007408AB"/>
    <w:rsid w:val="007506E3"/>
    <w:rsid w:val="007E03B6"/>
    <w:rsid w:val="007F27AF"/>
    <w:rsid w:val="0080499E"/>
    <w:rsid w:val="0084533D"/>
    <w:rsid w:val="008B22EA"/>
    <w:rsid w:val="00960419"/>
    <w:rsid w:val="00992915"/>
    <w:rsid w:val="00A4424A"/>
    <w:rsid w:val="00A66BE2"/>
    <w:rsid w:val="00AD3D41"/>
    <w:rsid w:val="00B274A0"/>
    <w:rsid w:val="00B7628C"/>
    <w:rsid w:val="00BB7C96"/>
    <w:rsid w:val="00C03C59"/>
    <w:rsid w:val="00C13341"/>
    <w:rsid w:val="00C83E09"/>
    <w:rsid w:val="00CE3C0E"/>
    <w:rsid w:val="00D24910"/>
    <w:rsid w:val="00D870BA"/>
    <w:rsid w:val="00DC3E6E"/>
    <w:rsid w:val="00DE6782"/>
    <w:rsid w:val="00E71685"/>
    <w:rsid w:val="00F270F7"/>
    <w:rsid w:val="00FB21A0"/>
    <w:rsid w:val="00FE4210"/>
    <w:rsid w:val="07584ED0"/>
    <w:rsid w:val="1A2D2D81"/>
    <w:rsid w:val="47DF5F4E"/>
    <w:rsid w:val="520D9C3C"/>
    <w:rsid w:val="67968B65"/>
    <w:rsid w:val="6CFF150B"/>
    <w:rsid w:val="6E3F679A"/>
    <w:rsid w:val="7BCF3E9D"/>
    <w:rsid w:val="7FFF3559"/>
    <w:rsid w:val="DF6DA8DC"/>
    <w:rsid w:val="E7DE4352"/>
    <w:rsid w:val="F0B20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widowControl w:val="0"/>
      <w:adjustRightInd/>
      <w:snapToGrid/>
      <w:spacing w:after="0"/>
      <w:jc w:val="both"/>
    </w:pPr>
    <w:rPr>
      <w:rFonts w:hint="eastAsia" w:ascii="宋体" w:hAnsi="宋体" w:eastAsiaTheme="minorEastAsia"/>
      <w:color w:val="000000"/>
      <w:kern w:val="2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正文文本 字符"/>
    <w:basedOn w:val="4"/>
    <w:link w:val="2"/>
    <w:qFormat/>
    <w:uiPriority w:val="0"/>
    <w:rPr>
      <w:rFonts w:ascii="宋体" w:hAnsi="宋体"/>
      <w:color w:val="000000"/>
      <w:sz w:val="24"/>
      <w:szCs w:val="24"/>
    </w:rPr>
  </w:style>
  <w:style w:type="character" w:customStyle="1" w:styleId="8">
    <w:name w:val="b-free-read-leaf"/>
    <w:basedOn w:val="4"/>
    <w:qFormat/>
    <w:uiPriority w:val="0"/>
  </w:style>
  <w:style w:type="character" w:customStyle="1" w:styleId="9">
    <w:name w:val="页脚 字符"/>
    <w:basedOn w:val="4"/>
    <w:link w:val="3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771</Words>
  <Characters>4396</Characters>
  <Lines>36</Lines>
  <Paragraphs>10</Paragraphs>
  <TotalTime>0</TotalTime>
  <ScaleCrop>false</ScaleCrop>
  <LinksUpToDate>false</LinksUpToDate>
  <CharactersWithSpaces>5157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2025-03-11T03:32:00Z</dcterms:created>
  <dc:creator>陈 峰</dc:creator>
  <cp:lastModifiedBy>Administrator</cp:lastModifiedBy>
  <dcterms:modified xsi:type="dcterms:W3CDTF">2025-06-23T02:18:44Z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CA22DC483B2647A987C05238197B22C2_12</vt:lpwstr>
  </property>
</Properties>
</file>