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4978" w:type="dxa"/>
        <w:jc w:val="center"/>
        <w:tblInd w:w="94" w:type="dxa"/>
        <w:tblLayout w:type="fixed"/>
        <w:tblCellMar>
          <w:top w:w="0" w:type="dxa"/>
          <w:left w:w="108" w:type="dxa"/>
          <w:bottom w:w="0" w:type="dxa"/>
          <w:right w:w="108" w:type="dxa"/>
        </w:tblCellMar>
      </w:tblPr>
      <w:tblGrid>
        <w:gridCol w:w="14978"/>
      </w:tblGrid>
      <w:tr>
        <w:tblPrEx>
          <w:tblLayout w:type="fixed"/>
          <w:tblCellMar>
            <w:top w:w="0" w:type="dxa"/>
            <w:left w:w="108" w:type="dxa"/>
            <w:bottom w:w="0" w:type="dxa"/>
            <w:right w:w="108" w:type="dxa"/>
          </w:tblCellMar>
        </w:tblPrEx>
        <w:trPr>
          <w:trHeight w:val="711" w:hRule="atLeast"/>
          <w:jc w:val="center"/>
        </w:trPr>
        <w:tc>
          <w:tcPr>
            <w:tcW w:w="14978" w:type="dxa"/>
            <w:tcBorders>
              <w:top w:val="nil"/>
              <w:left w:val="nil"/>
              <w:bottom w:val="nil"/>
              <w:right w:val="nil"/>
            </w:tcBorders>
            <w:vAlign w:val="center"/>
          </w:tcPr>
          <w:p>
            <w:pPr>
              <w:widowControl/>
              <w:spacing w:line="300" w:lineRule="exact"/>
              <w:ind w:left="-51" w:leftChars="-16" w:firstLine="86" w:firstLineChars="27"/>
              <w:jc w:val="left"/>
              <w:rPr>
                <w:rFonts w:hint="eastAsia" w:ascii="黑体" w:hAnsi="黑体" w:eastAsia="黑体" w:cs="黑体"/>
                <w:bCs/>
                <w:sz w:val="32"/>
                <w:szCs w:val="32"/>
              </w:rPr>
            </w:pPr>
          </w:p>
          <w:p>
            <w:pPr>
              <w:widowControl/>
              <w:spacing w:line="300" w:lineRule="exact"/>
              <w:ind w:left="-51" w:leftChars="-16" w:firstLine="86" w:firstLineChars="27"/>
              <w:jc w:val="left"/>
              <w:rPr>
                <w:rFonts w:hint="eastAsia" w:ascii="黑体" w:hAnsi="黑体" w:eastAsia="黑体" w:cs="黑体"/>
                <w:bCs/>
                <w:sz w:val="32"/>
                <w:szCs w:val="32"/>
              </w:rPr>
            </w:pPr>
            <w:r>
              <w:rPr>
                <w:rFonts w:hint="eastAsia" w:ascii="黑体" w:hAnsi="黑体" w:eastAsia="黑体" w:cs="黑体"/>
                <w:bCs/>
                <w:sz w:val="32"/>
                <w:szCs w:val="32"/>
              </w:rPr>
              <w:t>附</w:t>
            </w:r>
            <w:r>
              <w:rPr>
                <w:rFonts w:hint="eastAsia" w:ascii="黑体" w:hAnsi="黑体" w:eastAsia="黑体" w:cs="黑体"/>
                <w:bCs/>
                <w:sz w:val="32"/>
                <w:szCs w:val="32"/>
                <w:lang w:eastAsia="zh-CN"/>
              </w:rPr>
              <w:t>件</w:t>
            </w:r>
            <w:r>
              <w:rPr>
                <w:rFonts w:hint="eastAsia" w:ascii="黑体" w:hAnsi="黑体" w:eastAsia="黑体" w:cs="黑体"/>
                <w:bCs/>
                <w:sz w:val="32"/>
                <w:szCs w:val="32"/>
              </w:rPr>
              <w:t>2：</w:t>
            </w:r>
          </w:p>
          <w:p>
            <w:pPr>
              <w:pStyle w:val="8"/>
              <w:spacing w:before="156" w:beforeLines="50" w:beforeAutospacing="0" w:after="360" w:afterLines="0" w:afterAutospacing="0" w:line="40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企业落实安全生产主体责任检查要点表</w:t>
            </w:r>
          </w:p>
          <w:tbl>
            <w:tblPr>
              <w:tblStyle w:val="10"/>
              <w:tblW w:w="147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0"/>
              <w:gridCol w:w="3320"/>
              <w:gridCol w:w="2657"/>
              <w:gridCol w:w="3703"/>
              <w:gridCol w:w="1395"/>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tblHeader/>
              </w:trPr>
              <w:tc>
                <w:tcPr>
                  <w:tcW w:w="760" w:type="dxa"/>
                  <w:vAlign w:val="center"/>
                </w:tcPr>
                <w:p>
                  <w:pPr>
                    <w:spacing w:line="360" w:lineRule="exact"/>
                    <w:ind w:left="0" w:leftChars="0" w:firstLine="0" w:firstLineChars="0"/>
                    <w:jc w:val="both"/>
                    <w:rPr>
                      <w:rFonts w:ascii="黑体" w:hAnsi="黑体" w:eastAsia="黑体"/>
                      <w:bCs/>
                      <w:sz w:val="24"/>
                    </w:rPr>
                  </w:pPr>
                  <w:r>
                    <w:rPr>
                      <w:rFonts w:hint="eastAsia" w:ascii="黑体" w:hAnsi="黑体" w:eastAsia="黑体"/>
                      <w:bCs/>
                      <w:sz w:val="24"/>
                    </w:rPr>
                    <w:t>序号</w:t>
                  </w:r>
                </w:p>
              </w:tc>
              <w:tc>
                <w:tcPr>
                  <w:tcW w:w="3320" w:type="dxa"/>
                  <w:vAlign w:val="center"/>
                </w:tcPr>
                <w:p>
                  <w:pPr>
                    <w:spacing w:line="360" w:lineRule="exact"/>
                    <w:jc w:val="center"/>
                    <w:rPr>
                      <w:rFonts w:ascii="黑体" w:hAnsi="黑体" w:eastAsia="黑体"/>
                      <w:bCs/>
                      <w:sz w:val="24"/>
                    </w:rPr>
                  </w:pPr>
                  <w:r>
                    <w:rPr>
                      <w:rFonts w:hint="eastAsia" w:ascii="黑体" w:hAnsi="黑体" w:eastAsia="黑体"/>
                      <w:bCs/>
                      <w:sz w:val="24"/>
                    </w:rPr>
                    <w:t>主要任务</w:t>
                  </w:r>
                </w:p>
              </w:tc>
              <w:tc>
                <w:tcPr>
                  <w:tcW w:w="2657" w:type="dxa"/>
                  <w:vAlign w:val="center"/>
                </w:tcPr>
                <w:p>
                  <w:pPr>
                    <w:spacing w:line="360" w:lineRule="exact"/>
                    <w:jc w:val="center"/>
                    <w:rPr>
                      <w:rFonts w:ascii="黑体" w:hAnsi="黑体" w:eastAsia="黑体"/>
                      <w:bCs/>
                      <w:sz w:val="24"/>
                    </w:rPr>
                  </w:pPr>
                  <w:r>
                    <w:rPr>
                      <w:rFonts w:hint="eastAsia" w:ascii="黑体" w:hAnsi="黑体" w:eastAsia="黑体"/>
                      <w:bCs/>
                      <w:sz w:val="24"/>
                    </w:rPr>
                    <w:t>检查要点</w:t>
                  </w:r>
                </w:p>
              </w:tc>
              <w:tc>
                <w:tcPr>
                  <w:tcW w:w="3703" w:type="dxa"/>
                  <w:vAlign w:val="center"/>
                </w:tcPr>
                <w:p>
                  <w:pPr>
                    <w:spacing w:line="360" w:lineRule="exact"/>
                    <w:jc w:val="center"/>
                    <w:rPr>
                      <w:rFonts w:ascii="黑体" w:hAnsi="黑体" w:eastAsia="黑体"/>
                      <w:bCs/>
                      <w:sz w:val="24"/>
                    </w:rPr>
                  </w:pPr>
                  <w:r>
                    <w:rPr>
                      <w:rFonts w:hint="eastAsia" w:ascii="黑体" w:hAnsi="黑体" w:eastAsia="黑体"/>
                      <w:bCs/>
                      <w:sz w:val="24"/>
                    </w:rPr>
                    <w:t>检查方式</w:t>
                  </w:r>
                </w:p>
              </w:tc>
              <w:tc>
                <w:tcPr>
                  <w:tcW w:w="1395" w:type="dxa"/>
                  <w:vAlign w:val="center"/>
                </w:tcPr>
                <w:p>
                  <w:pPr>
                    <w:spacing w:line="360" w:lineRule="exact"/>
                    <w:ind w:left="0" w:leftChars="0" w:firstLine="0" w:firstLineChars="0"/>
                    <w:jc w:val="both"/>
                    <w:rPr>
                      <w:rFonts w:ascii="黑体" w:hAnsi="黑体" w:eastAsia="黑体"/>
                      <w:bCs/>
                      <w:sz w:val="24"/>
                    </w:rPr>
                  </w:pPr>
                  <w:r>
                    <w:rPr>
                      <w:rFonts w:hint="eastAsia" w:ascii="黑体" w:hAnsi="黑体" w:eastAsia="黑体"/>
                      <w:bCs/>
                      <w:sz w:val="24"/>
                    </w:rPr>
                    <w:t>检查情况</w:t>
                  </w:r>
                </w:p>
              </w:tc>
              <w:tc>
                <w:tcPr>
                  <w:tcW w:w="2880" w:type="dxa"/>
                  <w:vAlign w:val="center"/>
                </w:tcPr>
                <w:p>
                  <w:pPr>
                    <w:spacing w:line="360" w:lineRule="exact"/>
                    <w:jc w:val="center"/>
                    <w:rPr>
                      <w:rFonts w:hint="eastAsia" w:ascii="黑体" w:hAnsi="黑体" w:eastAsia="黑体"/>
                      <w:bCs/>
                      <w:sz w:val="24"/>
                    </w:rPr>
                  </w:pPr>
                  <w:r>
                    <w:rPr>
                      <w:rFonts w:hint="eastAsia" w:ascii="黑体" w:hAnsi="黑体" w:eastAsia="黑体"/>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atLeast"/>
              </w:trPr>
              <w:tc>
                <w:tcPr>
                  <w:tcW w:w="14715" w:type="dxa"/>
                  <w:gridSpan w:val="6"/>
                  <w:vAlign w:val="center"/>
                </w:tcPr>
                <w:p>
                  <w:pPr>
                    <w:pStyle w:val="2"/>
                    <w:spacing w:line="440" w:lineRule="exact"/>
                    <w:ind w:left="0" w:leftChars="0" w:firstLine="0" w:firstLineChars="0"/>
                    <w:rPr>
                      <w:rFonts w:ascii="仿宋" w:hAnsi="仿宋" w:eastAsia="仿宋" w:cs="仿宋"/>
                      <w:sz w:val="24"/>
                    </w:rPr>
                  </w:pPr>
                  <w:r>
                    <w:rPr>
                      <w:rFonts w:hint="eastAsia" w:ascii="仿宋_GB2312" w:hAnsi="仿宋_GB2312" w:eastAsia="仿宋_GB2312" w:cs="仿宋_GB2312"/>
                      <w:b/>
                      <w:bCs/>
                      <w:sz w:val="28"/>
                      <w:szCs w:val="28"/>
                    </w:rPr>
                    <w:t>（一）全面落实企业安全生产责任体系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60" w:type="dxa"/>
                  <w:vAlign w:val="center"/>
                </w:tcPr>
                <w:p>
                  <w:pPr>
                    <w:adjustRightInd w:val="0"/>
                    <w:snapToGrid w:val="0"/>
                    <w:spacing w:line="260" w:lineRule="exact"/>
                    <w:ind w:left="0" w:leftChars="0" w:firstLine="0" w:firstLineChars="0"/>
                    <w:jc w:val="center"/>
                    <w:rPr>
                      <w:rFonts w:hint="eastAsia" w:ascii="仿宋_GB2312" w:hAnsi="仿宋_GB2312" w:eastAsia="仿宋_GB2312" w:cs="仿宋_GB2312"/>
                      <w:bCs/>
                      <w:szCs w:val="21"/>
                    </w:rPr>
                  </w:pPr>
                  <w:r>
                    <w:rPr>
                      <w:rFonts w:hint="eastAsia" w:ascii="仿宋_GB2312" w:hAnsi="仿宋_GB2312" w:cs="仿宋_GB2312"/>
                      <w:bCs/>
                      <w:szCs w:val="21"/>
                      <w:lang w:val="en-US" w:eastAsia="zh-CN"/>
                    </w:rPr>
                    <w:t>1</w:t>
                  </w:r>
                </w:p>
              </w:tc>
              <w:tc>
                <w:tcPr>
                  <w:tcW w:w="3320"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督促指导企业建立健全从主要负责人到一线岗位员工覆盖所有管理和操作岗位的安全生产责任制，明确企业所有人员承担的安全生产责任，建立企业内部安全生产监督考核机制，推动各个岗位安全生产责任落实到位。</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建立全员安全生产责任制，明确考核标准和监督考核机制，按照制度规定开展安全生产责任制监督考核。 </w:t>
                  </w:r>
                </w:p>
              </w:tc>
              <w:tc>
                <w:tcPr>
                  <w:tcW w:w="3703"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1.查阅企业安全生产责任制是否覆盖所有负责人、部门和岗位；是否明确考核标准和监督考核机制。</w:t>
                  </w:r>
                </w:p>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2.查阅按照考核标准和监督考核机制，开展责任制考核的记录。</w:t>
                  </w:r>
                </w:p>
              </w:tc>
              <w:tc>
                <w:tcPr>
                  <w:tcW w:w="1395" w:type="dxa"/>
                  <w:vAlign w:val="center"/>
                </w:tcPr>
                <w:p>
                  <w:pPr>
                    <w:adjustRightInd w:val="0"/>
                    <w:snapToGrid w:val="0"/>
                    <w:spacing w:line="260" w:lineRule="exact"/>
                    <w:rPr>
                      <w:rFonts w:hint="eastAsia" w:ascii="仿宋_GB2312" w:hAnsi="仿宋_GB2312" w:eastAsia="仿宋_GB2312" w:cs="仿宋_GB2312"/>
                      <w:bCs/>
                      <w:sz w:val="24"/>
                    </w:rPr>
                  </w:pPr>
                </w:p>
              </w:tc>
              <w:tc>
                <w:tcPr>
                  <w:tcW w:w="2880" w:type="dxa"/>
                  <w:vMerge w:val="restart"/>
                  <w:vAlign w:val="center"/>
                </w:tcPr>
                <w:p>
                  <w:pPr>
                    <w:adjustRightInd w:val="0"/>
                    <w:snapToGrid w:val="0"/>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执法项：主要负责人、安全管理人员未依法履行安全生产工作职责。</w:t>
                  </w:r>
                </w:p>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执法处罚依据参见执法检查表。</w:t>
                  </w:r>
                </w:p>
                <w:p>
                  <w:pPr>
                    <w:pStyle w:val="2"/>
                    <w:spacing w:line="260" w:lineRule="exact"/>
                    <w:ind w:left="0" w:leftChars="0" w:firstLine="0" w:firstLineChars="0"/>
                    <w:rPr>
                      <w:rFonts w:hint="eastAsia" w:ascii="仿宋_GB2312" w:hAnsi="仿宋_GB2312" w:eastAsia="仿宋_GB2312" w:cs="仿宋_GB2312"/>
                      <w:sz w:val="24"/>
                    </w:rPr>
                  </w:pPr>
                  <w:r>
                    <w:rPr>
                      <w:rFonts w:hint="eastAsia" w:ascii="仿宋_GB2312" w:hAnsi="仿宋_GB2312" w:eastAsia="仿宋_GB2312" w:cs="仿宋_GB2312"/>
                      <w:sz w:val="21"/>
                      <w:szCs w:val="21"/>
                    </w:rPr>
                    <w:t>检查项：以师带徒落实情况。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1" w:hRule="atLeast"/>
              </w:trPr>
              <w:tc>
                <w:tcPr>
                  <w:tcW w:w="760" w:type="dxa"/>
                  <w:vAlign w:val="center"/>
                </w:tcPr>
                <w:p>
                  <w:pPr>
                    <w:adjustRightInd w:val="0"/>
                    <w:snapToGrid w:val="0"/>
                    <w:spacing w:line="260" w:lineRule="exact"/>
                    <w:ind w:left="0" w:leftChars="0" w:firstLine="0" w:firstLineChars="0"/>
                    <w:jc w:val="center"/>
                    <w:rPr>
                      <w:rFonts w:hint="eastAsia" w:ascii="仿宋_GB2312" w:hAnsi="仿宋_GB2312" w:eastAsia="仿宋_GB2312" w:cs="仿宋_GB2312"/>
                      <w:bCs/>
                      <w:szCs w:val="21"/>
                    </w:rPr>
                  </w:pPr>
                  <w:r>
                    <w:rPr>
                      <w:rFonts w:hint="eastAsia" w:ascii="仿宋_GB2312" w:hAnsi="仿宋_GB2312" w:cs="仿宋_GB2312"/>
                      <w:bCs/>
                      <w:szCs w:val="21"/>
                      <w:lang w:val="en-US" w:eastAsia="zh-CN"/>
                    </w:rPr>
                    <w:t>2</w:t>
                  </w:r>
                </w:p>
              </w:tc>
              <w:tc>
                <w:tcPr>
                  <w:tcW w:w="3320"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督促指导企业强化落实法定代表人、实际控制人等主要负责人第一责任人法定责任，做到安全责任、安全管理、安全投入、安全培训、应急救援“五到位”。</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企业主要负责人法定责任落实，做到安全责任、安全管理、安全投入、安全培训、应急救援“五到位”。                       </w:t>
                  </w:r>
                </w:p>
              </w:tc>
              <w:tc>
                <w:tcPr>
                  <w:tcW w:w="3703"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1.与企业主要负责人座谈交流其法定责任掌握和落实情况。</w:t>
                  </w:r>
                </w:p>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2.查阅履职佐证资料。</w:t>
                  </w:r>
                </w:p>
              </w:tc>
              <w:tc>
                <w:tcPr>
                  <w:tcW w:w="1395" w:type="dxa"/>
                  <w:vAlign w:val="center"/>
                </w:tcPr>
                <w:p>
                  <w:pPr>
                    <w:adjustRightInd w:val="0"/>
                    <w:snapToGrid w:val="0"/>
                    <w:spacing w:line="260" w:lineRule="exact"/>
                    <w:rPr>
                      <w:rFonts w:hint="eastAsia" w:ascii="仿宋_GB2312" w:hAnsi="仿宋_GB2312" w:eastAsia="仿宋_GB2312" w:cs="仿宋_GB2312"/>
                      <w:bCs/>
                      <w:sz w:val="24"/>
                    </w:rPr>
                  </w:pPr>
                </w:p>
              </w:tc>
              <w:tc>
                <w:tcPr>
                  <w:tcW w:w="2880" w:type="dxa"/>
                  <w:vMerge w:val="continue"/>
                  <w:vAlign w:val="center"/>
                </w:tcPr>
                <w:p>
                  <w:pPr>
                    <w:adjustRightInd w:val="0"/>
                    <w:snapToGrid w:val="0"/>
                    <w:spacing w:line="280" w:lineRule="exact"/>
                    <w:rPr>
                      <w:rFonts w:hint="eastAsia" w:ascii="仿宋_GB2312" w:hAnsi="仿宋_GB2312" w:eastAsia="仿宋_GB2312" w:cs="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760" w:type="dxa"/>
                  <w:vAlign w:val="center"/>
                </w:tcPr>
                <w:p>
                  <w:pPr>
                    <w:adjustRightInd w:val="0"/>
                    <w:snapToGrid w:val="0"/>
                    <w:spacing w:line="260" w:lineRule="exact"/>
                    <w:ind w:left="0" w:leftChars="0" w:firstLine="0" w:firstLineChars="0"/>
                    <w:jc w:val="center"/>
                    <w:rPr>
                      <w:rFonts w:hint="eastAsia" w:ascii="仿宋_GB2312" w:hAnsi="仿宋_GB2312" w:eastAsia="仿宋_GB2312" w:cs="仿宋_GB2312"/>
                      <w:bCs/>
                      <w:szCs w:val="21"/>
                    </w:rPr>
                  </w:pPr>
                  <w:r>
                    <w:rPr>
                      <w:rFonts w:hint="eastAsia" w:ascii="仿宋_GB2312" w:hAnsi="仿宋_GB2312" w:cs="仿宋_GB2312"/>
                      <w:bCs/>
                      <w:szCs w:val="21"/>
                      <w:lang w:val="en-US" w:eastAsia="zh-CN"/>
                    </w:rPr>
                    <w:t>3</w:t>
                  </w:r>
                </w:p>
              </w:tc>
              <w:tc>
                <w:tcPr>
                  <w:tcW w:w="3320"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督促指导企业落实全员安全生产责任，强化内部各部门安全生产职责，落实一岗双责制度；督促指导企业安全管理人员、重点岗位、班组和一线从业人员严格履行自身安全生产职责，严格遵守岗位安全操作规程，确保安全生产；督促指导重点行业领域企业严格落实以师带徒制度，确保新招员工安全作业。</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各部门安全生产职责明确。从业人员熟知岗位安全生产职责，严格遵守岗位安全操作规程。</w:t>
                  </w:r>
                </w:p>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检维修作业制定并安全方案，外委承包项目签订安全协议，对承包单位统一管理、定期检查。</w:t>
                  </w:r>
                </w:p>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重点行业领域企业建立并落实以师带徒制度。</w:t>
                  </w:r>
                </w:p>
              </w:tc>
              <w:tc>
                <w:tcPr>
                  <w:tcW w:w="3703"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1.重点抽查企业负责人、生产、技术、设备、安全、财务、人事等部门负责人及关键岗位人员责任制是否结合企业实际，是否符合岗位特点、具体明确。</w:t>
                  </w:r>
                </w:p>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2.询问有关负责人、一线员工掌握岗位职责、安全操作规程等情况。</w:t>
                  </w:r>
                </w:p>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3.查阅检维修作业安全方案、外委承包项目管理、检查等资料。</w:t>
                  </w:r>
                </w:p>
                <w:p>
                  <w:pPr>
                    <w:adjustRightInd w:val="0"/>
                    <w:snapToGrid w:val="0"/>
                    <w:spacing w:line="260" w:lineRule="exact"/>
                    <w:rPr>
                      <w:rFonts w:hint="eastAsia" w:ascii="仿宋_GB2312" w:hAnsi="仿宋_GB2312" w:eastAsia="仿宋_GB2312" w:cs="仿宋_GB2312"/>
                      <w:bCs/>
                      <w:spacing w:val="-10"/>
                      <w:sz w:val="21"/>
                      <w:szCs w:val="21"/>
                    </w:rPr>
                  </w:pPr>
                  <w:r>
                    <w:rPr>
                      <w:rFonts w:hint="eastAsia" w:ascii="仿宋_GB2312" w:hAnsi="仿宋_GB2312" w:eastAsia="仿宋_GB2312" w:cs="仿宋_GB2312"/>
                      <w:bCs/>
                      <w:spacing w:val="-10"/>
                      <w:sz w:val="21"/>
                      <w:szCs w:val="21"/>
                    </w:rPr>
                    <w:t>4.抽查重点行业领域企业以师带徒制度落实情况。</w:t>
                  </w:r>
                </w:p>
              </w:tc>
              <w:tc>
                <w:tcPr>
                  <w:tcW w:w="1395" w:type="dxa"/>
                  <w:vAlign w:val="center"/>
                </w:tcPr>
                <w:p>
                  <w:pPr>
                    <w:adjustRightInd w:val="0"/>
                    <w:snapToGrid w:val="0"/>
                    <w:spacing w:line="260" w:lineRule="exact"/>
                    <w:rPr>
                      <w:rFonts w:hint="eastAsia" w:ascii="仿宋_GB2312" w:hAnsi="仿宋_GB2312" w:eastAsia="仿宋_GB2312" w:cs="仿宋_GB2312"/>
                      <w:bCs/>
                      <w:spacing w:val="-10"/>
                      <w:sz w:val="24"/>
                    </w:rPr>
                  </w:pPr>
                </w:p>
              </w:tc>
              <w:tc>
                <w:tcPr>
                  <w:tcW w:w="2880" w:type="dxa"/>
                  <w:vMerge w:val="continue"/>
                  <w:vAlign w:val="center"/>
                </w:tcPr>
                <w:p>
                  <w:pPr>
                    <w:adjustRightInd w:val="0"/>
                    <w:snapToGrid w:val="0"/>
                    <w:spacing w:line="280" w:lineRule="exact"/>
                    <w:rPr>
                      <w:rFonts w:hint="eastAsia" w:ascii="仿宋_GB2312" w:hAnsi="仿宋_GB2312" w:eastAsia="仿宋_GB2312" w:cs="仿宋_GB2312"/>
                      <w:bCs/>
                      <w:spacing w:val="-1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14715" w:type="dxa"/>
                  <w:gridSpan w:val="6"/>
                  <w:vAlign w:val="center"/>
                </w:tcPr>
                <w:p>
                  <w:pPr>
                    <w:pStyle w:val="2"/>
                    <w:spacing w:line="400" w:lineRule="exact"/>
                    <w:ind w:left="0" w:leftChars="0" w:firstLine="0" w:firstLineChars="0"/>
                    <w:rPr>
                      <w:rFonts w:hint="eastAsia" w:ascii="仿宋_GB2312" w:hAnsi="仿宋_GB2312" w:eastAsia="仿宋_GB2312" w:cs="仿宋_GB2312"/>
                      <w:sz w:val="24"/>
                    </w:rPr>
                  </w:pPr>
                  <w:r>
                    <w:rPr>
                      <w:rFonts w:hint="eastAsia" w:ascii="仿宋_GB2312" w:hAnsi="仿宋_GB2312" w:eastAsia="仿宋_GB2312" w:cs="仿宋_GB2312"/>
                      <w:b/>
                      <w:bCs/>
                      <w:sz w:val="28"/>
                      <w:szCs w:val="28"/>
                    </w:rPr>
                    <w:t>（二）健全完善企业安全生产管理制度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15" w:hRule="atLeast"/>
              </w:trPr>
              <w:tc>
                <w:tcPr>
                  <w:tcW w:w="760" w:type="dxa"/>
                  <w:vAlign w:val="center"/>
                </w:tcPr>
                <w:p>
                  <w:pPr>
                    <w:adjustRightInd w:val="0"/>
                    <w:snapToGrid w:val="0"/>
                    <w:spacing w:line="260" w:lineRule="exact"/>
                    <w:ind w:left="0" w:leftChars="0" w:firstLine="0" w:firstLineChars="0"/>
                    <w:jc w:val="center"/>
                    <w:rPr>
                      <w:rFonts w:hint="eastAsia" w:ascii="仿宋_GB2312" w:hAnsi="仿宋_GB2312" w:eastAsia="仿宋_GB2312" w:cs="仿宋_GB2312"/>
                      <w:bCs/>
                      <w:szCs w:val="21"/>
                    </w:rPr>
                  </w:pPr>
                  <w:r>
                    <w:rPr>
                      <w:rFonts w:hint="eastAsia" w:ascii="仿宋_GB2312" w:hAnsi="仿宋_GB2312" w:cs="仿宋_GB2312"/>
                      <w:bCs/>
                      <w:szCs w:val="21"/>
                      <w:lang w:val="en-US" w:eastAsia="zh-CN"/>
                    </w:rPr>
                    <w:t>4</w:t>
                  </w:r>
                </w:p>
              </w:tc>
              <w:tc>
                <w:tcPr>
                  <w:tcW w:w="3320"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督促指导企业新建、改建、扩建工程项目（以下统称建设项目）的安全设施，与主体工程同时设计、同时施工、同时投入生产和使用。安全设施投资应当纳入建设项目概算。矿山、金属冶炼建设项目和用于生产、储存、装卸危险物品的建设项目，应当按照国家有关规定进行安全评价。</w:t>
                  </w:r>
                  <w:r>
                    <w:rPr>
                      <w:rFonts w:hint="eastAsia" w:ascii="仿宋_GB2312" w:hAnsi="仿宋_GB2312" w:cs="仿宋_GB2312"/>
                      <w:bCs/>
                      <w:sz w:val="21"/>
                      <w:szCs w:val="21"/>
                      <w:lang w:eastAsia="zh-CN"/>
                    </w:rPr>
                    <w:t>港口危险货物</w:t>
                  </w:r>
                  <w:r>
                    <w:rPr>
                      <w:rFonts w:hint="eastAsia" w:ascii="仿宋_GB2312" w:hAnsi="仿宋_GB2312" w:eastAsia="仿宋_GB2312" w:cs="仿宋_GB2312"/>
                      <w:bCs/>
                      <w:sz w:val="21"/>
                      <w:szCs w:val="21"/>
                    </w:rPr>
                    <w:t>建设项目的安全设施设计应当按照国家有关规定报经有关部门审查。用于储存危险物品的建设项目竣工投入生产或者使用前，应当由建设负责组织对安全设施进行验收；验收合格后，方可投入生产和使用。</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企业建设项目安全评价情况，安全设施设计审查情况、施工情况和验收情况。</w:t>
                  </w:r>
                </w:p>
              </w:tc>
              <w:tc>
                <w:tcPr>
                  <w:tcW w:w="3703" w:type="dxa"/>
                  <w:vAlign w:val="center"/>
                </w:tcPr>
                <w:p>
                  <w:pPr>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1.查阅企业建设项目安全评价、安全设施设计审查、施工、验收情况文件资料。</w:t>
                  </w:r>
                </w:p>
                <w:p>
                  <w:pPr>
                    <w:pStyle w:val="2"/>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2.现场检查企业安全设施是否合格。</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执法项。</w:t>
                  </w:r>
                </w:p>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执法处罚依据参见执法检查表。</w:t>
                  </w:r>
                </w:p>
                <w:p>
                  <w:pPr>
                    <w:pStyle w:val="2"/>
                    <w:spacing w:line="260" w:lineRule="exact"/>
                    <w:ind w:left="0" w:leftChars="0" w:firstLine="0" w:firstLineChars="0"/>
                    <w:rPr>
                      <w:rFonts w:hint="eastAsia" w:ascii="仿宋_GB2312" w:hAnsi="仿宋_GB2312" w:eastAsia="仿宋_GB2312" w:cs="仿宋_GB2312"/>
                      <w:sz w:val="21"/>
                      <w:szCs w:val="21"/>
                    </w:rPr>
                  </w:pPr>
                </w:p>
                <w:p>
                  <w:pPr>
                    <w:pStyle w:val="2"/>
                    <w:spacing w:line="260" w:lineRule="exact"/>
                    <w:ind w:left="0" w:leftChars="0" w:firstLine="0" w:firstLineChars="0"/>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7" w:hRule="atLeast"/>
              </w:trPr>
              <w:tc>
                <w:tcPr>
                  <w:tcW w:w="760" w:type="dxa"/>
                  <w:vAlign w:val="center"/>
                </w:tcPr>
                <w:p>
                  <w:pPr>
                    <w:adjustRightInd w:val="0"/>
                    <w:snapToGrid w:val="0"/>
                    <w:spacing w:line="240" w:lineRule="exact"/>
                    <w:ind w:left="0" w:leftChars="0" w:firstLine="0" w:firstLineChars="0"/>
                    <w:jc w:val="center"/>
                    <w:rPr>
                      <w:rFonts w:hint="eastAsia" w:ascii="仿宋_GB2312" w:hAnsi="仿宋_GB2312" w:eastAsia="仿宋_GB2312" w:cs="仿宋_GB2312"/>
                      <w:bCs/>
                      <w:color w:val="000000"/>
                      <w:szCs w:val="21"/>
                      <w:lang w:val="en-US" w:eastAsia="zh-CN"/>
                    </w:rPr>
                  </w:pPr>
                  <w:r>
                    <w:rPr>
                      <w:rFonts w:hint="eastAsia" w:ascii="仿宋_GB2312" w:hAnsi="仿宋_GB2312" w:cs="仿宋_GB2312"/>
                      <w:bCs/>
                      <w:color w:val="000000"/>
                      <w:szCs w:val="21"/>
                      <w:lang w:val="en-US" w:eastAsia="zh-CN"/>
                    </w:rPr>
                    <w:t>5</w:t>
                  </w:r>
                </w:p>
              </w:tc>
              <w:tc>
                <w:tcPr>
                  <w:tcW w:w="3320" w:type="dxa"/>
                  <w:vAlign w:val="center"/>
                </w:tcPr>
                <w:p>
                  <w:pPr>
                    <w:adjustRightInd w:val="0"/>
                    <w:snapToGrid w:val="0"/>
                    <w:spacing w:line="240" w:lineRule="exac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督促指导企业依法建立健全安全生产管理机构，配齐安全生产管理人员，全力支持安全管理机构工作，并建立相应的奖惩制度。</w:t>
                  </w:r>
                </w:p>
              </w:tc>
              <w:tc>
                <w:tcPr>
                  <w:tcW w:w="2657" w:type="dxa"/>
                  <w:vAlign w:val="center"/>
                </w:tcPr>
                <w:p>
                  <w:pPr>
                    <w:adjustRightInd w:val="0"/>
                    <w:snapToGrid w:val="0"/>
                    <w:spacing w:line="240" w:lineRule="exac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安全生产管理机构健全，安全生产管理人员配备齐全。</w:t>
                  </w:r>
                </w:p>
              </w:tc>
              <w:tc>
                <w:tcPr>
                  <w:tcW w:w="3703" w:type="dxa"/>
                  <w:vAlign w:val="center"/>
                </w:tcPr>
                <w:p>
                  <w:pPr>
                    <w:adjustRightInd w:val="0"/>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1.查阅企业人员情况登记表，了解掌握企业从业人员数量。</w:t>
                  </w:r>
                </w:p>
                <w:p>
                  <w:pPr>
                    <w:adjustRightInd w:val="0"/>
                    <w:snapToGrid w:val="0"/>
                    <w:spacing w:line="240" w:lineRule="exact"/>
                    <w:rPr>
                      <w:rFonts w:hint="eastAsia" w:ascii="仿宋_GB2312" w:hAnsi="仿宋_GB2312" w:eastAsia="仿宋_GB2312" w:cs="仿宋_GB2312"/>
                      <w:bCs/>
                      <w:color w:val="000000"/>
                      <w:spacing w:val="-10"/>
                      <w:sz w:val="21"/>
                      <w:szCs w:val="21"/>
                    </w:rPr>
                  </w:pPr>
                  <w:r>
                    <w:rPr>
                      <w:rFonts w:hint="eastAsia" w:ascii="仿宋_GB2312" w:hAnsi="仿宋_GB2312" w:eastAsia="仿宋_GB2312" w:cs="仿宋_GB2312"/>
                      <w:color w:val="000000"/>
                      <w:spacing w:val="-10"/>
                      <w:sz w:val="21"/>
                      <w:szCs w:val="21"/>
                    </w:rPr>
                    <w:t>2.</w:t>
                  </w:r>
                  <w:r>
                    <w:rPr>
                      <w:rFonts w:hint="eastAsia" w:ascii="仿宋_GB2312" w:hAnsi="仿宋_GB2312" w:eastAsia="仿宋_GB2312" w:cs="仿宋_GB2312"/>
                      <w:bCs/>
                      <w:color w:val="000000"/>
                      <w:spacing w:val="-10"/>
                      <w:sz w:val="21"/>
                      <w:szCs w:val="21"/>
                    </w:rPr>
                    <w:t>查阅企业设置安全管理机构和配备安全生产管理人员相关佐证文件资料。</w:t>
                  </w:r>
                </w:p>
                <w:p>
                  <w:pPr>
                    <w:adjustRightInd w:val="0"/>
                    <w:snapToGrid w:val="0"/>
                    <w:spacing w:line="240" w:lineRule="exac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w:t>
                  </w:r>
                  <w:r>
                    <w:rPr>
                      <w:rFonts w:hint="eastAsia" w:ascii="仿宋_GB2312" w:hAnsi="仿宋_GB2312" w:eastAsia="仿宋_GB2312" w:cs="仿宋_GB2312"/>
                      <w:color w:val="000000"/>
                      <w:sz w:val="21"/>
                      <w:szCs w:val="21"/>
                    </w:rPr>
                    <w:t>查阅安全管理人员专业背景和从业经历。</w:t>
                  </w:r>
                </w:p>
              </w:tc>
              <w:tc>
                <w:tcPr>
                  <w:tcW w:w="1395" w:type="dxa"/>
                  <w:vAlign w:val="center"/>
                </w:tcPr>
                <w:p>
                  <w:pPr>
                    <w:adjustRightInd w:val="0"/>
                    <w:snapToGrid w:val="0"/>
                    <w:spacing w:line="240" w:lineRule="exact"/>
                    <w:rPr>
                      <w:rFonts w:hint="eastAsia" w:ascii="仿宋_GB2312" w:hAnsi="仿宋_GB2312" w:eastAsia="仿宋_GB2312" w:cs="仿宋_GB2312"/>
                      <w:bCs/>
                      <w:color w:val="000000"/>
                      <w:sz w:val="21"/>
                      <w:szCs w:val="21"/>
                    </w:rPr>
                  </w:pPr>
                </w:p>
              </w:tc>
              <w:tc>
                <w:tcPr>
                  <w:tcW w:w="2880" w:type="dxa"/>
                  <w:vAlign w:val="center"/>
                </w:tcPr>
                <w:p>
                  <w:pPr>
                    <w:adjustRightInd w:val="0"/>
                    <w:snapToGrid w:val="0"/>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执法项。</w:t>
                  </w:r>
                </w:p>
                <w:p>
                  <w:pPr>
                    <w:pStyle w:val="2"/>
                    <w:spacing w:line="26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执法处罚依据参见执法检查表。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9" w:hRule="atLeast"/>
              </w:trPr>
              <w:tc>
                <w:tcPr>
                  <w:tcW w:w="760" w:type="dxa"/>
                  <w:vAlign w:val="center"/>
                </w:tcPr>
                <w:p>
                  <w:pPr>
                    <w:adjustRightInd w:val="0"/>
                    <w:snapToGrid w:val="0"/>
                    <w:spacing w:line="260" w:lineRule="exact"/>
                    <w:ind w:left="0" w:leftChars="0" w:firstLine="0" w:firstLineChars="0"/>
                    <w:jc w:val="center"/>
                    <w:rPr>
                      <w:rFonts w:hint="eastAsia" w:ascii="仿宋_GB2312" w:hAnsi="仿宋_GB2312" w:eastAsia="仿宋_GB2312" w:cs="仿宋_GB2312"/>
                      <w:bCs/>
                      <w:szCs w:val="21"/>
                    </w:rPr>
                  </w:pPr>
                  <w:r>
                    <w:rPr>
                      <w:rFonts w:hint="eastAsia" w:ascii="仿宋_GB2312" w:hAnsi="仿宋_GB2312" w:cs="仿宋_GB2312"/>
                      <w:bCs/>
                      <w:szCs w:val="21"/>
                      <w:lang w:val="en-US" w:eastAsia="zh-CN"/>
                    </w:rPr>
                    <w:t>6</w:t>
                  </w:r>
                </w:p>
              </w:tc>
              <w:tc>
                <w:tcPr>
                  <w:tcW w:w="3320"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督促指导重点行业领域企业通过自身培养和市场化机制全部建立安全生产技术和管理团队。</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重点行业领域企业建立安全生产技术和管理团队。 </w:t>
                  </w:r>
                </w:p>
              </w:tc>
              <w:tc>
                <w:tcPr>
                  <w:tcW w:w="3703"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核查重点行业领域企业安全生产技术和管理团队建设情况。</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adjustRightInd w:val="0"/>
                    <w:snapToGrid w:val="0"/>
                    <w:spacing w:line="260" w:lineRule="exact"/>
                    <w:ind w:left="0" w:leftChars="0" w:firstLine="0" w:firstLineChars="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trPr>
              <w:tc>
                <w:tcPr>
                  <w:tcW w:w="760" w:type="dxa"/>
                  <w:vAlign w:val="center"/>
                </w:tcPr>
                <w:p>
                  <w:pPr>
                    <w:adjustRightInd w:val="0"/>
                    <w:snapToGrid w:val="0"/>
                    <w:spacing w:line="260" w:lineRule="exact"/>
                    <w:jc w:val="center"/>
                    <w:rPr>
                      <w:rFonts w:hint="eastAsia" w:ascii="仿宋_GB2312" w:hAnsi="仿宋_GB2312" w:eastAsia="仿宋_GB2312" w:cs="仿宋_GB2312"/>
                      <w:bCs/>
                      <w:szCs w:val="21"/>
                    </w:rPr>
                  </w:pPr>
                  <w:r>
                    <w:rPr>
                      <w:rFonts w:hint="eastAsia" w:ascii="仿宋_GB2312" w:hAnsi="仿宋_GB2312" w:cs="仿宋_GB2312"/>
                      <w:bCs/>
                      <w:szCs w:val="21"/>
                      <w:lang w:val="en-US" w:eastAsia="zh-CN"/>
                    </w:rPr>
                    <w:t>7</w:t>
                  </w:r>
                  <w:r>
                    <w:rPr>
                      <w:rFonts w:hint="eastAsia" w:ascii="仿宋_GB2312" w:hAnsi="仿宋_GB2312" w:eastAsia="仿宋_GB2312" w:cs="仿宋_GB2312"/>
                      <w:bCs/>
                      <w:szCs w:val="21"/>
                    </w:rPr>
                    <w:t>7</w:t>
                  </w:r>
                </w:p>
              </w:tc>
              <w:tc>
                <w:tcPr>
                  <w:tcW w:w="3320"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督促企业强化安全投入，保证安全生产条件所必需的资金投入，严格安全生产费用提取管理使用制度，坚持内部审计与外部审计相结合，确保足额提取、使用到位，对违规挪作他用，以及由于资金投入不足导致的发生事故等后果依法依规惩处。</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按照《企业安全生产费用提取和使用管理办法》（财企〔2012〕16号)的要求，规范提取和使用安全生产费用。</w:t>
                  </w:r>
                </w:p>
              </w:tc>
              <w:tc>
                <w:tcPr>
                  <w:tcW w:w="3703" w:type="dxa"/>
                  <w:vAlign w:val="center"/>
                </w:tcPr>
                <w:p>
                  <w:pPr>
                    <w:numPr>
                      <w:ilvl w:val="0"/>
                      <w:numId w:val="0"/>
                    </w:num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cs="仿宋_GB2312"/>
                      <w:bCs/>
                      <w:sz w:val="21"/>
                      <w:szCs w:val="21"/>
                      <w:lang w:val="en-US" w:eastAsia="zh-CN"/>
                    </w:rPr>
                    <w:t xml:space="preserve">    1.</w:t>
                  </w:r>
                  <w:r>
                    <w:rPr>
                      <w:rFonts w:hint="eastAsia" w:ascii="仿宋_GB2312" w:hAnsi="仿宋_GB2312" w:eastAsia="仿宋_GB2312" w:cs="仿宋_GB2312"/>
                      <w:bCs/>
                      <w:sz w:val="21"/>
                      <w:szCs w:val="21"/>
                    </w:rPr>
                    <w:t>查阅企业安全生产资金投入等相关材料，检查企业是否具备有关法律、行政法规和国家标准或者行业标准规定的安全生产条件。</w:t>
                  </w:r>
                </w:p>
                <w:p>
                  <w:pPr>
                    <w:numPr>
                      <w:ilvl w:val="0"/>
                      <w:numId w:val="0"/>
                    </w:num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cs="仿宋_GB2312"/>
                      <w:bCs/>
                      <w:sz w:val="21"/>
                      <w:szCs w:val="21"/>
                      <w:lang w:val="en-US" w:eastAsia="zh-CN"/>
                    </w:rPr>
                    <w:t xml:space="preserve">    2.</w:t>
                  </w:r>
                  <w:r>
                    <w:rPr>
                      <w:rFonts w:hint="eastAsia" w:ascii="仿宋_GB2312" w:hAnsi="仿宋_GB2312" w:eastAsia="仿宋_GB2312" w:cs="仿宋_GB2312"/>
                      <w:bCs/>
                      <w:sz w:val="21"/>
                      <w:szCs w:val="21"/>
                    </w:rPr>
                    <w:t>查阅企业安全生产费用提取和使用制度和安全生产费用使用台账。</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adjustRightInd w:val="0"/>
                    <w:snapToGrid w:val="0"/>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执法项：生产经营单位的决策机构、主要负责人或者个人经营的投资人不按照本法规定保证安全生产所必需的资金投入，致使生产经营单位不具备安全生产条件。</w:t>
                  </w:r>
                </w:p>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执法处罚依据参见执法检查表。</w:t>
                  </w:r>
                </w:p>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检查项：企业安全生产费用提取和使用。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0" w:hRule="atLeast"/>
              </w:trPr>
              <w:tc>
                <w:tcPr>
                  <w:tcW w:w="760" w:type="dxa"/>
                  <w:vAlign w:val="center"/>
                </w:tcPr>
                <w:p>
                  <w:pPr>
                    <w:adjustRightInd w:val="0"/>
                    <w:snapToGrid w:val="0"/>
                    <w:spacing w:line="260" w:lineRule="exact"/>
                    <w:ind w:left="0" w:leftChars="0" w:firstLine="0" w:firstLineChars="0"/>
                    <w:jc w:val="center"/>
                    <w:rPr>
                      <w:rFonts w:hint="eastAsia" w:ascii="仿宋_GB2312" w:hAnsi="仿宋_GB2312" w:eastAsia="仿宋_GB2312" w:cs="仿宋_GB2312"/>
                      <w:bCs/>
                      <w:szCs w:val="21"/>
                      <w:lang w:val="en-US" w:eastAsia="zh-CN"/>
                    </w:rPr>
                  </w:pPr>
                  <w:r>
                    <w:rPr>
                      <w:rFonts w:hint="eastAsia" w:ascii="仿宋_GB2312" w:hAnsi="仿宋_GB2312" w:cs="仿宋_GB2312"/>
                      <w:bCs/>
                      <w:szCs w:val="21"/>
                      <w:lang w:val="en-US" w:eastAsia="zh-CN"/>
                    </w:rPr>
                    <w:t>8</w:t>
                  </w:r>
                </w:p>
              </w:tc>
              <w:tc>
                <w:tcPr>
                  <w:tcW w:w="3320" w:type="dxa"/>
                  <w:vAlign w:val="center"/>
                </w:tcPr>
                <w:p>
                  <w:pPr>
                    <w:adjustRightInd w:val="0"/>
                    <w:snapToGrid w:val="0"/>
                    <w:spacing w:line="26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督促企业严格落实安全技术设备设施改造等支持政策，加大淘汰落后力度，及时更新推广应用先进适用安全生产工艺和技术装备，提高安全生产保障能力。督促企业安装、使用、检测、改造和报废安全设备要符合国家标准或者行业标准，并对安全设备进行经常性维护、保养和定期检测。</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企业安全设备的安装、使用、检测、改造和报费要符合国家标准或者行业标准，并对安全设备进行经常性维护、保养和定期检测。</w:t>
                  </w:r>
                </w:p>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企业不使用国家明令禁止的淘汰工艺和设备。</w:t>
                  </w:r>
                </w:p>
              </w:tc>
              <w:tc>
                <w:tcPr>
                  <w:tcW w:w="3703" w:type="dxa"/>
                  <w:vAlign w:val="center"/>
                </w:tcPr>
                <w:p>
                  <w:pPr>
                    <w:numPr>
                      <w:ilvl w:val="0"/>
                      <w:numId w:val="0"/>
                    </w:numPr>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 xml:space="preserve">    1.</w:t>
                  </w:r>
                  <w:r>
                    <w:rPr>
                      <w:rFonts w:hint="eastAsia" w:ascii="仿宋_GB2312" w:hAnsi="仿宋_GB2312" w:eastAsia="仿宋_GB2312" w:cs="仿宋_GB2312"/>
                      <w:sz w:val="21"/>
                      <w:szCs w:val="21"/>
                    </w:rPr>
                    <w:t>现场抽查工艺和设备符合国家或者行业标准情况。</w:t>
                  </w:r>
                </w:p>
                <w:p>
                  <w:pPr>
                    <w:pStyle w:val="2"/>
                    <w:numPr>
                      <w:ilvl w:val="0"/>
                      <w:numId w:val="0"/>
                    </w:numPr>
                    <w:spacing w:line="260" w:lineRule="exact"/>
                    <w:ind w:left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2.</w:t>
                  </w:r>
                  <w:r>
                    <w:rPr>
                      <w:rFonts w:hint="eastAsia" w:ascii="仿宋_GB2312" w:hAnsi="仿宋_GB2312" w:eastAsia="仿宋_GB2312" w:cs="仿宋_GB2312"/>
                      <w:sz w:val="21"/>
                      <w:szCs w:val="21"/>
                    </w:rPr>
                    <w:t>查阅企业安全设备的维护、保养和检测记录。</w:t>
                  </w:r>
                </w:p>
                <w:p/>
                <w:p>
                  <w:pPr>
                    <w:pStyle w:val="2"/>
                    <w:spacing w:line="260" w:lineRule="exact"/>
                    <w:rPr>
                      <w:rFonts w:hint="eastAsia" w:ascii="仿宋_GB2312" w:hAnsi="仿宋_GB2312" w:eastAsia="仿宋_GB2312" w:cs="仿宋_GB2312"/>
                      <w:sz w:val="21"/>
                      <w:szCs w:val="21"/>
                    </w:rPr>
                  </w:pP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adjustRightInd w:val="0"/>
                    <w:snapToGrid w:val="0"/>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执法项。</w:t>
                  </w:r>
                </w:p>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执法处罚依据参见执法检查表。</w:t>
                  </w:r>
                </w:p>
                <w:p>
                  <w:pPr>
                    <w:pStyle w:val="2"/>
                    <w:rPr>
                      <w:rFonts w:hint="eastAsia"/>
                      <w:sz w:val="21"/>
                      <w:szCs w:val="21"/>
                    </w:rPr>
                  </w:pPr>
                </w:p>
                <w:p>
                  <w:pPr>
                    <w:pStyle w:val="2"/>
                    <w:spacing w:line="260" w:lineRule="exact"/>
                    <w:ind w:left="0" w:leftChars="0" w:firstLine="0" w:firstLineChars="0"/>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760" w:type="dxa"/>
                  <w:vAlign w:val="center"/>
                </w:tcPr>
                <w:p>
                  <w:pPr>
                    <w:adjustRightInd w:val="0"/>
                    <w:snapToGrid w:val="0"/>
                    <w:spacing w:line="260" w:lineRule="exact"/>
                    <w:jc w:val="center"/>
                    <w:rPr>
                      <w:rFonts w:hint="eastAsia" w:ascii="仿宋_GB2312" w:hAnsi="仿宋_GB2312" w:eastAsia="仿宋_GB2312" w:cs="仿宋_GB2312"/>
                      <w:bCs/>
                      <w:szCs w:val="21"/>
                    </w:rPr>
                  </w:pPr>
                  <w:r>
                    <w:rPr>
                      <w:rFonts w:hint="eastAsia" w:ascii="仿宋_GB2312" w:hAnsi="仿宋_GB2312" w:cs="仿宋_GB2312"/>
                      <w:bCs/>
                      <w:szCs w:val="21"/>
                      <w:lang w:val="en-US" w:eastAsia="zh-CN"/>
                    </w:rPr>
                    <w:t>9</w:t>
                  </w:r>
                  <w:r>
                    <w:rPr>
                      <w:rFonts w:hint="eastAsia" w:ascii="仿宋_GB2312" w:hAnsi="仿宋_GB2312" w:eastAsia="仿宋_GB2312" w:cs="仿宋_GB2312"/>
                      <w:bCs/>
                      <w:szCs w:val="21"/>
                    </w:rPr>
                    <w:t>9</w:t>
                  </w:r>
                </w:p>
              </w:tc>
              <w:tc>
                <w:tcPr>
                  <w:tcW w:w="3320"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督促企业对重大危险源登记建档，进行定期检测、评估、监控，并制定应急预案，告知从业人员和相关人员在紧急情况下应当采取的应急措施。</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企业重大危险源管理情况。</w:t>
                  </w:r>
                </w:p>
              </w:tc>
              <w:tc>
                <w:tcPr>
                  <w:tcW w:w="3703"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查阅企业重大危险源登记建档情况，以及定期检测、评估、监控和应急预案制定情况。</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执法项。</w:t>
                  </w:r>
                </w:p>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执法处罚依据参见执法检查表。</w:t>
                  </w:r>
                </w:p>
                <w:p>
                  <w:pPr>
                    <w:pStyle w:val="2"/>
                    <w:spacing w:line="260" w:lineRule="exact"/>
                    <w:ind w:left="0" w:leftChars="0" w:firstLine="0" w:firstLineChars="0"/>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7" w:hRule="atLeast"/>
              </w:trPr>
              <w:tc>
                <w:tcPr>
                  <w:tcW w:w="760" w:type="dxa"/>
                  <w:vAlign w:val="center"/>
                </w:tcPr>
                <w:p>
                  <w:pPr>
                    <w:adjustRightInd w:val="0"/>
                    <w:snapToGrid w:val="0"/>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r>
                    <w:rPr>
                      <w:rFonts w:hint="eastAsia" w:ascii="仿宋_GB2312" w:hAnsi="仿宋_GB2312" w:cs="仿宋_GB2312"/>
                      <w:bCs/>
                      <w:szCs w:val="21"/>
                      <w:lang w:val="en-US" w:eastAsia="zh-CN"/>
                    </w:rPr>
                    <w:t>10</w:t>
                  </w:r>
                </w:p>
              </w:tc>
              <w:tc>
                <w:tcPr>
                  <w:tcW w:w="3320" w:type="dxa"/>
                  <w:vAlign w:val="center"/>
                </w:tcPr>
                <w:p>
                  <w:pPr>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督促企业生产、经营、储存、使用危险物品的车间、商店、仓库与员工宿舍不得在一座建筑物内，并应当与员工宿舍保持安全距离；生产经营场所和员工宿舍应当设有符合紧急疏散要求、标志明显、保持畅通的出口。禁止锁闭、封堵生产经营场所或者员工宿舍的出口。</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企业员工宿舍与企业车间、商店、仓库是否在同一建筑物内，距离是否符合安全要求；生产经营场所和员工宿舍的出口设置情况。</w:t>
                  </w:r>
                </w:p>
              </w:tc>
              <w:tc>
                <w:tcPr>
                  <w:tcW w:w="3703" w:type="dxa"/>
                  <w:vAlign w:val="center"/>
                </w:tcPr>
                <w:p>
                  <w:pPr>
                    <w:numPr>
                      <w:ilvl w:val="0"/>
                      <w:numId w:val="0"/>
                    </w:numPr>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 xml:space="preserve">    1.</w:t>
                  </w:r>
                  <w:r>
                    <w:rPr>
                      <w:rFonts w:hint="eastAsia" w:ascii="仿宋_GB2312" w:hAnsi="仿宋_GB2312" w:eastAsia="仿宋_GB2312" w:cs="仿宋_GB2312"/>
                      <w:sz w:val="21"/>
                      <w:szCs w:val="21"/>
                    </w:rPr>
                    <w:t>现场核查企业生产、经营、储存、使用危险物品的车间、商店、仓库与员工宿舍是否在同一座建筑物内，现场核查上述车间、商店、仓库与员工宿舍的距离是否符合安全要求；</w:t>
                  </w:r>
                </w:p>
                <w:p>
                  <w:pPr>
                    <w:pStyle w:val="2"/>
                    <w:spacing w:line="260" w:lineRule="exact"/>
                    <w:ind w:left="0" w:leftChars="0"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2.现场核查生产经营单位和员工宿舍的出口设置情况。</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执法项。</w:t>
                  </w:r>
                </w:p>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执法处罚依据参见执法检查表。</w:t>
                  </w:r>
                </w:p>
                <w:p>
                  <w:pPr>
                    <w:pStyle w:val="2"/>
                    <w:spacing w:line="260" w:lineRule="exact"/>
                    <w:ind w:left="0" w:leftChars="0" w:firstLine="0" w:firstLineChars="0"/>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4" w:hRule="atLeast"/>
              </w:trPr>
              <w:tc>
                <w:tcPr>
                  <w:tcW w:w="760" w:type="dxa"/>
                  <w:vAlign w:val="center"/>
                </w:tcPr>
                <w:p>
                  <w:pPr>
                    <w:adjustRightInd w:val="0"/>
                    <w:snapToGrid w:val="0"/>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11</w:t>
                  </w:r>
                  <w:r>
                    <w:rPr>
                      <w:rFonts w:hint="eastAsia" w:ascii="仿宋_GB2312" w:hAnsi="仿宋_GB2312" w:cs="仿宋_GB2312"/>
                      <w:bCs/>
                      <w:szCs w:val="21"/>
                      <w:lang w:val="en-US" w:eastAsia="zh-CN"/>
                    </w:rPr>
                    <w:t>1</w:t>
                  </w:r>
                </w:p>
              </w:tc>
              <w:tc>
                <w:tcPr>
                  <w:tcW w:w="3320"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督促企业加强从业人员劳动保护，配齐并督促从业人员正确佩戴和使用符合国家或行业标准的安全防护用品。</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从业人员安全防护用品齐全有效。</w:t>
                  </w:r>
                </w:p>
              </w:tc>
              <w:tc>
                <w:tcPr>
                  <w:tcW w:w="3703"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1.查阅企业安全防护用品登记和发放记录。</w:t>
                  </w:r>
                </w:p>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2.询问1-2名从业人员掌握正确佩戴和使用安全防护用品情况。</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adjustRightInd w:val="0"/>
                    <w:snapToGrid w:val="0"/>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执法项。</w:t>
                  </w:r>
                </w:p>
                <w:p>
                  <w:pPr>
                    <w:pStyle w:val="2"/>
                    <w:spacing w:line="260" w:lineRule="exact"/>
                    <w:ind w:left="0" w:leftChars="0" w:firstLine="0" w:firstLineChars="0"/>
                    <w:rPr>
                      <w:rFonts w:hint="eastAsia"/>
                      <w:sz w:val="21"/>
                      <w:szCs w:val="21"/>
                    </w:rPr>
                  </w:pPr>
                  <w:r>
                    <w:rPr>
                      <w:rFonts w:hint="eastAsia" w:ascii="仿宋_GB2312" w:hAnsi="仿宋_GB2312" w:eastAsia="仿宋_GB2312" w:cs="仿宋_GB2312"/>
                      <w:sz w:val="21"/>
                      <w:szCs w:val="21"/>
                    </w:rPr>
                    <w:t>执法处罚依据参见执法检查表。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760" w:type="dxa"/>
                  <w:vAlign w:val="center"/>
                </w:tcPr>
                <w:p>
                  <w:pPr>
                    <w:adjustRightInd w:val="0"/>
                    <w:snapToGrid w:val="0"/>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r>
                    <w:rPr>
                      <w:rFonts w:hint="eastAsia" w:ascii="仿宋_GB2312" w:hAnsi="仿宋_GB2312" w:cs="仿宋_GB2312"/>
                      <w:bCs/>
                      <w:szCs w:val="21"/>
                      <w:lang w:val="en-US" w:eastAsia="zh-CN"/>
                    </w:rPr>
                    <w:t>1</w:t>
                  </w:r>
                  <w:r>
                    <w:rPr>
                      <w:rFonts w:hint="eastAsia" w:ascii="仿宋_GB2312" w:hAnsi="仿宋_GB2312" w:eastAsia="仿宋_GB2312" w:cs="仿宋_GB2312"/>
                      <w:bCs/>
                      <w:szCs w:val="21"/>
                    </w:rPr>
                    <w:t>2</w:t>
                  </w:r>
                </w:p>
              </w:tc>
              <w:tc>
                <w:tcPr>
                  <w:tcW w:w="3320"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督促指导企业</w:t>
                  </w:r>
                  <w:r>
                    <w:rPr>
                      <w:rFonts w:hint="eastAsia" w:ascii="仿宋_GB2312" w:hAnsi="仿宋_GB2312" w:eastAsia="仿宋_GB2312" w:cs="仿宋_GB2312"/>
                      <w:sz w:val="21"/>
                      <w:szCs w:val="21"/>
                    </w:rPr>
                    <w:t>进行爆破、吊装以及其他危险作业，要安排专门人员进行现场安全管理，确保操作规程的遵守和安全措施的落实。</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危险作业安排专门人员进行现场安全管理。</w:t>
                  </w:r>
                </w:p>
              </w:tc>
              <w:tc>
                <w:tcPr>
                  <w:tcW w:w="3703"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查阅企业作业票。检查其进行爆破、吊装以及其他危险作业时，是否有安排专门人员进行现场安全管理。</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执法项。</w:t>
                  </w:r>
                </w:p>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执法处罚依据参见执法检查表。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760" w:type="dxa"/>
                  <w:vAlign w:val="center"/>
                </w:tcPr>
                <w:p>
                  <w:pPr>
                    <w:adjustRightInd w:val="0"/>
                    <w:snapToGrid w:val="0"/>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r>
                    <w:rPr>
                      <w:rFonts w:hint="eastAsia" w:ascii="仿宋_GB2312" w:hAnsi="仿宋_GB2312" w:cs="仿宋_GB2312"/>
                      <w:bCs/>
                      <w:szCs w:val="21"/>
                      <w:lang w:val="en-US" w:eastAsia="zh-CN"/>
                    </w:rPr>
                    <w:t>1</w:t>
                  </w:r>
                  <w:r>
                    <w:rPr>
                      <w:rFonts w:hint="eastAsia" w:ascii="仿宋_GB2312" w:hAnsi="仿宋_GB2312" w:eastAsia="仿宋_GB2312" w:cs="仿宋_GB2312"/>
                      <w:bCs/>
                      <w:szCs w:val="21"/>
                    </w:rPr>
                    <w:t>3</w:t>
                  </w:r>
                </w:p>
              </w:tc>
              <w:tc>
                <w:tcPr>
                  <w:tcW w:w="3320" w:type="dxa"/>
                  <w:vAlign w:val="center"/>
                </w:tcPr>
                <w:p>
                  <w:pPr>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督促企业</w:t>
                  </w:r>
                  <w:r>
                    <w:rPr>
                      <w:rFonts w:hint="eastAsia" w:ascii="仿宋_GB2312" w:hAnsi="仿宋_GB2312" w:eastAsia="仿宋_GB2312" w:cs="仿宋_GB2312"/>
                      <w:sz w:val="21"/>
                      <w:szCs w:val="21"/>
                    </w:rPr>
                    <w:t>不得将生产经营项目、场所、设备发包或者出租给不具备安全生产条件或者相应资质的单位或者个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企业发包出租经营项目、场所、设备方面情况。</w:t>
                  </w:r>
                </w:p>
              </w:tc>
              <w:tc>
                <w:tcPr>
                  <w:tcW w:w="3703" w:type="dxa"/>
                  <w:vAlign w:val="center"/>
                </w:tcPr>
                <w:p>
                  <w:pPr>
                    <w:adjustRightInd w:val="0"/>
                    <w:snapToGrid w:val="0"/>
                    <w:spacing w:line="260" w:lineRule="exac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1.查阅企业发包或者出租生产经营项目、场所、设备的单位或者个人，是否具备安全生产条件或者相应资质。</w:t>
                  </w:r>
                </w:p>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2.查阅企业发包项目是否签订专门的安全生产管理协议，或者在承包合同、租赁合同中是否有约定各自的安全生产管理职责。</w:t>
                  </w:r>
                </w:p>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3.查阅企业对承包单位、承租单位的安全生产工作是否有定期进行安全检查的记录。</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执法项。</w:t>
                  </w:r>
                </w:p>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执法处罚依据参见执法检查表。</w:t>
                  </w:r>
                </w:p>
                <w:p>
                  <w:pPr>
                    <w:pStyle w:val="2"/>
                    <w:spacing w:line="260" w:lineRule="exact"/>
                    <w:ind w:left="0" w:leftChars="0" w:firstLine="0" w:firstLineChars="0"/>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760" w:type="dxa"/>
                  <w:vAlign w:val="center"/>
                </w:tcPr>
                <w:p>
                  <w:pPr>
                    <w:adjustRightInd w:val="0"/>
                    <w:snapToGrid w:val="0"/>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r>
                    <w:rPr>
                      <w:rFonts w:hint="eastAsia" w:ascii="仿宋_GB2312" w:hAnsi="仿宋_GB2312" w:cs="仿宋_GB2312"/>
                      <w:bCs/>
                      <w:szCs w:val="21"/>
                      <w:lang w:val="en-US" w:eastAsia="zh-CN"/>
                    </w:rPr>
                    <w:t>1</w:t>
                  </w:r>
                  <w:r>
                    <w:rPr>
                      <w:rFonts w:hint="eastAsia" w:ascii="仿宋_GB2312" w:hAnsi="仿宋_GB2312" w:eastAsia="仿宋_GB2312" w:cs="仿宋_GB2312"/>
                      <w:bCs/>
                      <w:szCs w:val="21"/>
                    </w:rPr>
                    <w:t>4</w:t>
                  </w:r>
                </w:p>
              </w:tc>
              <w:tc>
                <w:tcPr>
                  <w:tcW w:w="3320" w:type="dxa"/>
                  <w:vAlign w:val="center"/>
                </w:tcPr>
                <w:p>
                  <w:pPr>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两个以上生产经营单位在同一作业区域内进行生产经营活动，可能危及对方生产安全的，要督促指导其签订安全生产管理协议，明确各自的安全生产管理职责和应当采取的安全措施，并指定专职安全生产管理人员进行安全检查与协调。</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两个以上生产经营单位在同一区域作业的安全管理协议签订情况及专职安全生产管理人员配备情况。</w:t>
                  </w:r>
                </w:p>
              </w:tc>
              <w:tc>
                <w:tcPr>
                  <w:tcW w:w="3703" w:type="dxa"/>
                  <w:vAlign w:val="center"/>
                </w:tcPr>
                <w:p>
                  <w:pPr>
                    <w:numPr>
                      <w:ilvl w:val="0"/>
                      <w:numId w:val="0"/>
                    </w:numPr>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 xml:space="preserve">    1.</w:t>
                  </w:r>
                  <w:r>
                    <w:rPr>
                      <w:rFonts w:hint="eastAsia" w:ascii="仿宋_GB2312" w:hAnsi="仿宋_GB2312" w:eastAsia="仿宋_GB2312" w:cs="仿宋_GB2312"/>
                      <w:sz w:val="21"/>
                      <w:szCs w:val="21"/>
                    </w:rPr>
                    <w:t>查阅企业涉及两个以上生产经营单位在同一作业区域内进行生产经营活动的安全生产管理协议签订情况。</w:t>
                  </w:r>
                </w:p>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2.现场核查是否有专职安全生产管理人员进行安全检查与协调。</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执法项。</w:t>
                  </w:r>
                </w:p>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执法处罚依据参见执法检查表。</w:t>
                  </w:r>
                </w:p>
                <w:p>
                  <w:pPr>
                    <w:pStyle w:val="2"/>
                    <w:spacing w:line="260" w:lineRule="exact"/>
                    <w:ind w:left="0" w:leftChars="0" w:firstLine="0" w:firstLineChars="0"/>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760" w:type="dxa"/>
                  <w:vAlign w:val="center"/>
                </w:tcPr>
                <w:p>
                  <w:pPr>
                    <w:adjustRightInd w:val="0"/>
                    <w:snapToGrid w:val="0"/>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r>
                    <w:rPr>
                      <w:rFonts w:hint="eastAsia" w:ascii="仿宋_GB2312" w:hAnsi="仿宋_GB2312" w:cs="仿宋_GB2312"/>
                      <w:bCs/>
                      <w:szCs w:val="21"/>
                      <w:lang w:val="en-US" w:eastAsia="zh-CN"/>
                    </w:rPr>
                    <w:t>1</w:t>
                  </w:r>
                  <w:r>
                    <w:rPr>
                      <w:rFonts w:hint="eastAsia" w:ascii="仿宋_GB2312" w:hAnsi="仿宋_GB2312" w:eastAsia="仿宋_GB2312" w:cs="仿宋_GB2312"/>
                      <w:bCs/>
                      <w:szCs w:val="21"/>
                    </w:rPr>
                    <w:t>5</w:t>
                  </w:r>
                </w:p>
              </w:tc>
              <w:tc>
                <w:tcPr>
                  <w:tcW w:w="3320" w:type="dxa"/>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督促指导企业按照规定制定生产安全事故应急救援预案并定期组织演练。</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企业生产安全事故应急救援预案制定情况及演练组织情况。</w:t>
                  </w:r>
                </w:p>
              </w:tc>
              <w:tc>
                <w:tcPr>
                  <w:tcW w:w="3703" w:type="dxa"/>
                  <w:vAlign w:val="center"/>
                </w:tcPr>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现场查阅企业生产安全事故应急救援预案和演练记录。</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执法项。</w:t>
                  </w:r>
                </w:p>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执法处罚依据参见执法检查表。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60" w:type="dxa"/>
                  <w:vAlign w:val="center"/>
                </w:tcPr>
                <w:p>
                  <w:pPr>
                    <w:adjustRightInd w:val="0"/>
                    <w:snapToGrid w:val="0"/>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r>
                    <w:rPr>
                      <w:rFonts w:hint="eastAsia" w:ascii="仿宋_GB2312" w:hAnsi="仿宋_GB2312" w:cs="仿宋_GB2312"/>
                      <w:bCs/>
                      <w:szCs w:val="21"/>
                      <w:lang w:val="en-US" w:eastAsia="zh-CN"/>
                    </w:rPr>
                    <w:t>1</w:t>
                  </w:r>
                  <w:r>
                    <w:rPr>
                      <w:rFonts w:hint="eastAsia" w:ascii="仿宋_GB2312" w:hAnsi="仿宋_GB2312" w:eastAsia="仿宋_GB2312" w:cs="仿宋_GB2312"/>
                      <w:bCs/>
                      <w:szCs w:val="21"/>
                    </w:rPr>
                    <w:t>6</w:t>
                  </w:r>
                </w:p>
              </w:tc>
              <w:tc>
                <w:tcPr>
                  <w:tcW w:w="3320" w:type="dxa"/>
                  <w:vAlign w:val="center"/>
                </w:tcPr>
                <w:p>
                  <w:pPr>
                    <w:adjustRightInd w:val="0"/>
                    <w:snapToGrid w:val="0"/>
                    <w:spacing w:line="260" w:lineRule="exact"/>
                    <w:rPr>
                      <w:rFonts w:hint="eastAsia" w:ascii="仿宋_GB2312" w:hAnsi="仿宋_GB2312" w:eastAsia="仿宋_GB2312" w:cs="仿宋_GB2312"/>
                      <w:bCs/>
                      <w:spacing w:val="-4"/>
                      <w:sz w:val="21"/>
                      <w:szCs w:val="21"/>
                    </w:rPr>
                  </w:pPr>
                  <w:r>
                    <w:rPr>
                      <w:rFonts w:hint="eastAsia" w:ascii="仿宋_GB2312" w:hAnsi="仿宋_GB2312" w:eastAsia="仿宋_GB2312" w:cs="仿宋_GB2312"/>
                      <w:bCs/>
                      <w:spacing w:val="-4"/>
                      <w:sz w:val="21"/>
                      <w:szCs w:val="21"/>
                    </w:rPr>
                    <w:t>督促指导企业建立健全安全教育培训制度，要对安全生产“三项岗位人员”和其他从业人员进行安全生产教育和培训，明确考核标准。依法查处未取得特种作业操作证和未经安全生产教育培训合格的从业人员上岗作业等违法行为。</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安全教育培训制度健全，从业人员教育培训合格和特种作业人员持证上岗。</w:t>
                  </w:r>
                </w:p>
              </w:tc>
              <w:tc>
                <w:tcPr>
                  <w:tcW w:w="3703" w:type="dxa"/>
                  <w:vAlign w:val="center"/>
                </w:tcPr>
                <w:p>
                  <w:pPr>
                    <w:adjustRightInd w:val="0"/>
                    <w:snapToGrid w:val="0"/>
                    <w:spacing w:line="260" w:lineRule="exact"/>
                    <w:rPr>
                      <w:rFonts w:hint="eastAsia" w:ascii="仿宋_GB2312" w:hAnsi="仿宋_GB2312" w:eastAsia="仿宋_GB2312" w:cs="仿宋_GB2312"/>
                      <w:bCs/>
                      <w:spacing w:val="-12"/>
                      <w:sz w:val="21"/>
                      <w:szCs w:val="21"/>
                    </w:rPr>
                  </w:pPr>
                  <w:r>
                    <w:rPr>
                      <w:rFonts w:hint="eastAsia" w:ascii="仿宋_GB2312" w:hAnsi="仿宋_GB2312" w:eastAsia="仿宋_GB2312" w:cs="仿宋_GB2312"/>
                      <w:bCs/>
                      <w:spacing w:val="-12"/>
                      <w:sz w:val="21"/>
                      <w:szCs w:val="21"/>
                    </w:rPr>
                    <w:t>1.查阅企业安全生产教育培训制度、计划和培训记录（试卷）。</w:t>
                  </w:r>
                </w:p>
                <w:p>
                  <w:pPr>
                    <w:adjustRightInd w:val="0"/>
                    <w:snapToGrid w:val="0"/>
                    <w:spacing w:line="260" w:lineRule="exact"/>
                    <w:rPr>
                      <w:rFonts w:hint="eastAsia" w:ascii="仿宋_GB2312" w:hAnsi="仿宋_GB2312" w:eastAsia="仿宋_GB2312" w:cs="仿宋_GB2312"/>
                      <w:bCs/>
                      <w:spacing w:val="-12"/>
                      <w:sz w:val="21"/>
                      <w:szCs w:val="21"/>
                    </w:rPr>
                  </w:pPr>
                  <w:r>
                    <w:rPr>
                      <w:rFonts w:hint="eastAsia" w:ascii="仿宋_GB2312" w:hAnsi="仿宋_GB2312" w:eastAsia="仿宋_GB2312" w:cs="仿宋_GB2312"/>
                      <w:bCs/>
                      <w:spacing w:val="-12"/>
                      <w:sz w:val="21"/>
                      <w:szCs w:val="21"/>
                    </w:rPr>
                    <w:t>2.检查特种作业人员操作证有效性，现场核查特种作业岗位是否配备符合资质人员。</w:t>
                  </w:r>
                </w:p>
              </w:tc>
              <w:tc>
                <w:tcPr>
                  <w:tcW w:w="1395" w:type="dxa"/>
                  <w:vAlign w:val="center"/>
                </w:tcPr>
                <w:p>
                  <w:pPr>
                    <w:adjustRightInd w:val="0"/>
                    <w:snapToGrid w:val="0"/>
                    <w:spacing w:line="260" w:lineRule="exact"/>
                    <w:rPr>
                      <w:rFonts w:hint="eastAsia" w:ascii="仿宋_GB2312" w:hAnsi="仿宋_GB2312" w:eastAsia="仿宋_GB2312" w:cs="仿宋_GB2312"/>
                      <w:bCs/>
                      <w:spacing w:val="-12"/>
                      <w:sz w:val="21"/>
                      <w:szCs w:val="21"/>
                    </w:rPr>
                  </w:pPr>
                </w:p>
              </w:tc>
              <w:tc>
                <w:tcPr>
                  <w:tcW w:w="2880" w:type="dxa"/>
                  <w:vAlign w:val="center"/>
                </w:tcPr>
                <w:p>
                  <w:pPr>
                    <w:adjustRightInd w:val="0"/>
                    <w:snapToGrid w:val="0"/>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执法项。</w:t>
                  </w:r>
                </w:p>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执法处罚依据参见执法检查表。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1" w:hRule="atLeast"/>
              </w:trPr>
              <w:tc>
                <w:tcPr>
                  <w:tcW w:w="760" w:type="dxa"/>
                  <w:vAlign w:val="center"/>
                </w:tcPr>
                <w:p>
                  <w:pPr>
                    <w:adjustRightInd w:val="0"/>
                    <w:snapToGrid w:val="0"/>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r>
                    <w:rPr>
                      <w:rFonts w:hint="eastAsia" w:ascii="仿宋_GB2312" w:hAnsi="仿宋_GB2312" w:cs="仿宋_GB2312"/>
                      <w:bCs/>
                      <w:szCs w:val="21"/>
                      <w:lang w:val="en-US" w:eastAsia="zh-CN"/>
                    </w:rPr>
                    <w:t>1</w:t>
                  </w:r>
                  <w:r>
                    <w:rPr>
                      <w:rFonts w:hint="eastAsia" w:ascii="仿宋_GB2312" w:hAnsi="仿宋_GB2312" w:eastAsia="仿宋_GB2312" w:cs="仿宋_GB2312"/>
                      <w:bCs/>
                      <w:szCs w:val="21"/>
                    </w:rPr>
                    <w:t>7</w:t>
                  </w:r>
                </w:p>
              </w:tc>
              <w:tc>
                <w:tcPr>
                  <w:tcW w:w="3320" w:type="dxa"/>
                  <w:vAlign w:val="center"/>
                </w:tcPr>
                <w:p>
                  <w:pPr>
                    <w:adjustRightInd w:val="0"/>
                    <w:snapToGrid w:val="0"/>
                    <w:spacing w:line="260" w:lineRule="exact"/>
                    <w:rPr>
                      <w:rFonts w:hint="eastAsia" w:ascii="仿宋_GB2312" w:hAnsi="仿宋_GB2312" w:eastAsia="仿宋_GB2312" w:cs="仿宋_GB2312"/>
                      <w:bCs/>
                      <w:spacing w:val="-6"/>
                      <w:sz w:val="21"/>
                      <w:szCs w:val="21"/>
                    </w:rPr>
                  </w:pPr>
                  <w:r>
                    <w:rPr>
                      <w:rFonts w:hint="eastAsia" w:ascii="仿宋_GB2312" w:hAnsi="仿宋_GB2312" w:eastAsia="仿宋_GB2312" w:cs="仿宋_GB2312"/>
                      <w:bCs/>
                      <w:spacing w:val="-6"/>
                      <w:sz w:val="21"/>
                      <w:szCs w:val="21"/>
                    </w:rPr>
                    <w:t>充分利用国家职业技能提升行动支持政策，加强企业安全人才培养。督促指导市属重点行业领域企业要通过委托培养的方式，实现重点岗位人员“变招工为招生”。</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pacing w:val="-6"/>
                      <w:sz w:val="21"/>
                      <w:szCs w:val="21"/>
                    </w:rPr>
                    <w:t>市属重点行业领域企业要通过委托培养的方式，实现重点岗位人员“变招工为招生”。</w:t>
                  </w:r>
                </w:p>
              </w:tc>
              <w:tc>
                <w:tcPr>
                  <w:tcW w:w="3703"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与企业主要负责人座谈交流重点岗位“变招工为招生”实施情况。</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adjustRightInd w:val="0"/>
                    <w:snapToGrid w:val="0"/>
                    <w:spacing w:line="260" w:lineRule="exact"/>
                    <w:ind w:left="0" w:leftChars="0" w:firstLine="0" w:firstLineChars="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1" w:hRule="atLeast"/>
              </w:trPr>
              <w:tc>
                <w:tcPr>
                  <w:tcW w:w="760" w:type="dxa"/>
                  <w:vAlign w:val="center"/>
                </w:tcPr>
                <w:p>
                  <w:pPr>
                    <w:adjustRightInd w:val="0"/>
                    <w:snapToGrid w:val="0"/>
                    <w:spacing w:line="260" w:lineRule="exact"/>
                    <w:jc w:val="center"/>
                    <w:rPr>
                      <w:rFonts w:ascii="仿宋_GB2312" w:hAnsi="仿宋_GB2312" w:eastAsia="仿宋_GB2312" w:cs="仿宋_GB2312"/>
                      <w:bCs/>
                      <w:szCs w:val="21"/>
                    </w:rPr>
                  </w:pPr>
                  <w:r>
                    <w:rPr>
                      <w:rFonts w:hint="eastAsia" w:ascii="仿宋_GB2312" w:hAnsi="仿宋_GB2312" w:cs="仿宋_GB2312"/>
                      <w:bCs/>
                      <w:szCs w:val="21"/>
                      <w:lang w:val="en-US" w:eastAsia="zh-CN"/>
                    </w:rPr>
                    <w:t>1</w:t>
                  </w:r>
                  <w:r>
                    <w:rPr>
                      <w:rFonts w:hint="eastAsia" w:ascii="仿宋_GB2312" w:hAnsi="仿宋_GB2312" w:eastAsia="仿宋_GB2312" w:cs="仿宋_GB2312"/>
                      <w:bCs/>
                      <w:szCs w:val="21"/>
                    </w:rPr>
                    <w:t>18</w:t>
                  </w:r>
                </w:p>
              </w:tc>
              <w:tc>
                <w:tcPr>
                  <w:tcW w:w="3320"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督促推动各类企业按照《企业安全生产标准化基本规范》（GB/T33000-2016）和行业专业标准化评定标准的要求，持续推进企业安全生产标准化建设。督促指导企业完成自评工作。</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企业推进安全生产标准化工作，完成年度安全生产标准化管理体系自评工作。</w:t>
                  </w:r>
                </w:p>
              </w:tc>
              <w:tc>
                <w:tcPr>
                  <w:tcW w:w="3703"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查阅企业安全生产标准化年度自评报告。检查是否按规定开展，是否符合企业实际情况。</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adjustRightInd w:val="0"/>
                    <w:snapToGrid w:val="0"/>
                    <w:spacing w:line="260" w:lineRule="exact"/>
                    <w:ind w:left="0" w:leftChars="0" w:firstLine="0" w:firstLineChars="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4715" w:type="dxa"/>
                  <w:gridSpan w:val="6"/>
                  <w:vAlign w:val="center"/>
                </w:tcPr>
                <w:p>
                  <w:pPr>
                    <w:adjustRightInd w:val="0"/>
                    <w:snapToGrid w:val="0"/>
                    <w:spacing w:line="280" w:lineRule="exact"/>
                    <w:rPr>
                      <w:rFonts w:hint="eastAsia" w:ascii="仿宋_GB2312" w:hAnsi="仿宋_GB2312" w:eastAsia="仿宋_GB2312" w:cs="仿宋_GB2312"/>
                      <w:bCs/>
                      <w:sz w:val="24"/>
                    </w:rPr>
                  </w:pPr>
                  <w:r>
                    <w:rPr>
                      <w:rFonts w:hint="eastAsia" w:ascii="仿宋_GB2312" w:hAnsi="仿宋_GB2312" w:eastAsia="仿宋_GB2312" w:cs="仿宋_GB2312"/>
                      <w:b/>
                      <w:sz w:val="28"/>
                      <w:szCs w:val="28"/>
                    </w:rPr>
                    <w:t>（三）健全完善企业安全风险防控机制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33" w:hRule="atLeast"/>
              </w:trPr>
              <w:tc>
                <w:tcPr>
                  <w:tcW w:w="760" w:type="dxa"/>
                  <w:vAlign w:val="center"/>
                </w:tcPr>
                <w:p>
                  <w:pPr>
                    <w:adjustRightInd w:val="0"/>
                    <w:snapToGrid w:val="0"/>
                    <w:spacing w:line="260" w:lineRule="exact"/>
                    <w:ind w:left="0" w:leftChars="0" w:firstLine="0" w:firstLineChars="0"/>
                    <w:jc w:val="center"/>
                    <w:rPr>
                      <w:rFonts w:ascii="仿宋_GB2312" w:hAnsi="仿宋_GB2312" w:eastAsia="仿宋_GB2312" w:cs="仿宋_GB2312"/>
                      <w:bCs/>
                      <w:szCs w:val="21"/>
                    </w:rPr>
                  </w:pPr>
                  <w:r>
                    <w:rPr>
                      <w:rFonts w:hint="eastAsia" w:ascii="仿宋_GB2312" w:hAnsi="仿宋_GB2312" w:cs="仿宋_GB2312"/>
                      <w:bCs/>
                      <w:szCs w:val="21"/>
                      <w:lang w:val="en-US" w:eastAsia="zh-CN"/>
                    </w:rPr>
                    <w:t>1</w:t>
                  </w:r>
                  <w:r>
                    <w:rPr>
                      <w:rFonts w:hint="eastAsia" w:ascii="仿宋_GB2312" w:hAnsi="仿宋_GB2312" w:eastAsia="仿宋_GB2312" w:cs="仿宋_GB2312"/>
                      <w:bCs/>
                      <w:szCs w:val="21"/>
                    </w:rPr>
                    <w:t>9</w:t>
                  </w:r>
                </w:p>
              </w:tc>
              <w:tc>
                <w:tcPr>
                  <w:tcW w:w="3320"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督促指导企业建立安全风险辨识评估制度，科学制定安全风险辨识程序和方法，定期辨识安全风险，并对其进行分类、梳理、评估，科学确定安全风险类别和等级，实现“一企一清单”。</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企业安全风险辨识评估制度完善，安全风险类别和等级明确，实现“一企一清单”。</w:t>
                  </w:r>
                </w:p>
              </w:tc>
              <w:tc>
                <w:tcPr>
                  <w:tcW w:w="3703"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1.查阅企业安全风险辨识评估制度和风险分级及管控措施清单。</w:t>
                  </w:r>
                </w:p>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2.检查主要风险辨识是否遗漏、评估分级是否合理、管控措施是否到位。</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adjustRightInd w:val="0"/>
                    <w:snapToGrid w:val="0"/>
                    <w:spacing w:line="260" w:lineRule="exact"/>
                    <w:ind w:left="0" w:leftChars="0" w:firstLine="0" w:firstLineChars="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760" w:type="dxa"/>
                  <w:vAlign w:val="center"/>
                </w:tcPr>
                <w:p>
                  <w:pPr>
                    <w:adjustRightInd w:val="0"/>
                    <w:snapToGrid w:val="0"/>
                    <w:spacing w:line="260" w:lineRule="exact"/>
                    <w:ind w:left="0" w:leftChars="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20</w:t>
                  </w:r>
                </w:p>
              </w:tc>
              <w:tc>
                <w:tcPr>
                  <w:tcW w:w="3320"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督促指导</w:t>
                  </w:r>
                  <w:r>
                    <w:rPr>
                      <w:rFonts w:hint="eastAsia" w:ascii="仿宋_GB2312" w:hAnsi="仿宋_GB2312" w:cs="仿宋_GB2312"/>
                      <w:bCs/>
                      <w:sz w:val="21"/>
                      <w:szCs w:val="21"/>
                      <w:lang w:eastAsia="zh-CN"/>
                    </w:rPr>
                    <w:t>港口</w:t>
                  </w:r>
                  <w:r>
                    <w:rPr>
                      <w:rFonts w:hint="eastAsia" w:ascii="仿宋_GB2312" w:hAnsi="仿宋_GB2312" w:eastAsia="仿宋_GB2312" w:cs="仿宋_GB2312"/>
                      <w:bCs/>
                      <w:sz w:val="21"/>
                      <w:szCs w:val="21"/>
                    </w:rPr>
                    <w:t>企业每年至少开展一次全面的安全风险辨识，加强动态分级管理，生产工艺、系统、设备、管理体制、管理制度等发生重大变化时应当重新进行辨识评估。</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企业开展全面的安全风险辨识评估的频率。</w:t>
                  </w:r>
                </w:p>
              </w:tc>
              <w:tc>
                <w:tcPr>
                  <w:tcW w:w="3703" w:type="dxa"/>
                  <w:vAlign w:val="center"/>
                </w:tcPr>
                <w:p>
                  <w:pPr>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1.查阅企业是否按照要求每年开展一次全面的安全风险辨识评估。</w:t>
                  </w:r>
                </w:p>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2.查阅当生产工艺等发生重大变化时，企业是否重新进行辨识评估。</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adjustRightInd w:val="0"/>
                    <w:snapToGrid w:val="0"/>
                    <w:spacing w:line="260" w:lineRule="exact"/>
                    <w:ind w:left="0" w:leftChars="0" w:firstLine="0" w:firstLineChars="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760" w:type="dxa"/>
                  <w:vAlign w:val="center"/>
                </w:tcPr>
                <w:p>
                  <w:pPr>
                    <w:adjustRightInd w:val="0"/>
                    <w:snapToGrid w:val="0"/>
                    <w:spacing w:line="260" w:lineRule="exact"/>
                    <w:ind w:left="0" w:leftChars="0" w:firstLine="0" w:firstLineChars="0"/>
                    <w:jc w:val="center"/>
                    <w:rPr>
                      <w:rFonts w:ascii="仿宋_GB2312" w:hAnsi="仿宋_GB2312" w:eastAsia="仿宋_GB2312" w:cs="仿宋_GB2312"/>
                      <w:bCs/>
                      <w:szCs w:val="21"/>
                    </w:rPr>
                  </w:pPr>
                  <w:r>
                    <w:rPr>
                      <w:rFonts w:hint="eastAsia" w:ascii="仿宋_GB2312" w:hAnsi="仿宋_GB2312" w:cs="仿宋_GB2312"/>
                      <w:bCs/>
                      <w:szCs w:val="21"/>
                      <w:lang w:val="en-US" w:eastAsia="zh-CN"/>
                    </w:rPr>
                    <w:t>2</w:t>
                  </w:r>
                  <w:r>
                    <w:rPr>
                      <w:rFonts w:hint="eastAsia" w:ascii="仿宋_GB2312" w:hAnsi="仿宋_GB2312" w:eastAsia="仿宋_GB2312" w:cs="仿宋_GB2312"/>
                      <w:bCs/>
                      <w:szCs w:val="21"/>
                    </w:rPr>
                    <w:t>1</w:t>
                  </w:r>
                </w:p>
              </w:tc>
              <w:tc>
                <w:tcPr>
                  <w:tcW w:w="3320"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督促指导企业建立安全风险管控制度，逐一落实企业、车间、班组和岗位的管控责任，从组织、制度、技术、应急等方面对安全风险进行有效管控。</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建立安全风险管控制度，企业、车间、班组和岗位管控责任明确。</w:t>
                  </w:r>
                </w:p>
              </w:tc>
              <w:tc>
                <w:tcPr>
                  <w:tcW w:w="3703"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现场抽查有关负责人、员工对安全风险辨识管控掌握和落实情况。</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adjustRightInd w:val="0"/>
                    <w:snapToGrid w:val="0"/>
                    <w:spacing w:line="260" w:lineRule="exact"/>
                    <w:ind w:left="0" w:leftChars="0" w:firstLine="0" w:firstLineChars="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9" w:hRule="atLeast"/>
              </w:trPr>
              <w:tc>
                <w:tcPr>
                  <w:tcW w:w="760" w:type="dxa"/>
                  <w:vAlign w:val="center"/>
                </w:tcPr>
                <w:p>
                  <w:pPr>
                    <w:adjustRightInd w:val="0"/>
                    <w:snapToGrid w:val="0"/>
                    <w:spacing w:line="260" w:lineRule="exact"/>
                    <w:ind w:left="0" w:leftChars="0" w:firstLine="0" w:firstLineChars="0"/>
                    <w:jc w:val="center"/>
                    <w:rPr>
                      <w:rFonts w:ascii="仿宋_GB2312" w:hAnsi="仿宋_GB2312" w:eastAsia="仿宋_GB2312" w:cs="仿宋_GB2312"/>
                      <w:bCs/>
                      <w:szCs w:val="21"/>
                    </w:rPr>
                  </w:pPr>
                  <w:r>
                    <w:rPr>
                      <w:rFonts w:hint="eastAsia" w:ascii="仿宋_GB2312" w:hAnsi="仿宋_GB2312" w:cs="仿宋_GB2312"/>
                      <w:bCs/>
                      <w:szCs w:val="21"/>
                      <w:lang w:val="en-US" w:eastAsia="zh-CN"/>
                    </w:rPr>
                    <w:t>2</w:t>
                  </w:r>
                  <w:r>
                    <w:rPr>
                      <w:rFonts w:hint="eastAsia" w:ascii="仿宋_GB2312" w:hAnsi="仿宋_GB2312" w:eastAsia="仿宋_GB2312" w:cs="仿宋_GB2312"/>
                      <w:bCs/>
                      <w:szCs w:val="21"/>
                    </w:rPr>
                    <w:t>2</w:t>
                  </w:r>
                </w:p>
              </w:tc>
              <w:tc>
                <w:tcPr>
                  <w:tcW w:w="3320" w:type="dxa"/>
                  <w:vAlign w:val="center"/>
                </w:tcPr>
                <w:p>
                  <w:pPr>
                    <w:adjustRightInd w:val="0"/>
                    <w:snapToGrid w:val="0"/>
                    <w:spacing w:line="260" w:lineRule="exact"/>
                    <w:rPr>
                      <w:rFonts w:hint="eastAsia" w:ascii="仿宋_GB2312" w:hAnsi="仿宋_GB2312" w:eastAsia="仿宋_GB2312" w:cs="仿宋_GB2312"/>
                      <w:bCs/>
                      <w:spacing w:val="-6"/>
                      <w:sz w:val="21"/>
                      <w:szCs w:val="21"/>
                    </w:rPr>
                  </w:pPr>
                  <w:r>
                    <w:rPr>
                      <w:rFonts w:hint="eastAsia" w:ascii="仿宋_GB2312" w:hAnsi="仿宋_GB2312" w:eastAsia="仿宋_GB2312" w:cs="仿宋_GB2312"/>
                      <w:bCs/>
                      <w:spacing w:val="-6"/>
                      <w:sz w:val="21"/>
                      <w:szCs w:val="21"/>
                    </w:rPr>
                    <w:t>督促指导企业针对高危工艺、设备、物品、场所和岗位等重点环节，高度关注运营状况和危险源变化后的风险状况，动态评估、调整风险等级和管控措施，确保安全风险始终处于受控范围内。</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动态评估运营状况和危险源变化后的风险，及时调整风险等级和管控措施。</w:t>
                  </w:r>
                </w:p>
              </w:tc>
              <w:tc>
                <w:tcPr>
                  <w:tcW w:w="3703"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查阅运营状况和危险源变化前后评估结果和相应措施。检查是否对改扩建、新工艺新设备等更新风险管控清单。</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adjustRightInd w:val="0"/>
                    <w:snapToGrid w:val="0"/>
                    <w:spacing w:line="260" w:lineRule="exact"/>
                    <w:ind w:left="0" w:leftChars="0" w:firstLine="0" w:firstLineChars="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8" w:hRule="atLeast"/>
              </w:trPr>
              <w:tc>
                <w:tcPr>
                  <w:tcW w:w="760" w:type="dxa"/>
                  <w:vAlign w:val="center"/>
                </w:tcPr>
                <w:p>
                  <w:pPr>
                    <w:adjustRightInd w:val="0"/>
                    <w:snapToGrid w:val="0"/>
                    <w:spacing w:line="260" w:lineRule="exact"/>
                    <w:ind w:left="0" w:leftChars="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23</w:t>
                  </w:r>
                </w:p>
              </w:tc>
              <w:tc>
                <w:tcPr>
                  <w:tcW w:w="3320" w:type="dxa"/>
                  <w:vAlign w:val="center"/>
                </w:tcPr>
                <w:p>
                  <w:pPr>
                    <w:adjustRightInd w:val="0"/>
                    <w:snapToGrid w:val="0"/>
                    <w:spacing w:line="260" w:lineRule="exact"/>
                    <w:rPr>
                      <w:rFonts w:hint="eastAsia" w:ascii="仿宋_GB2312" w:hAnsi="仿宋_GB2312" w:eastAsia="仿宋_GB2312" w:cs="仿宋_GB2312"/>
                      <w:bCs/>
                      <w:spacing w:val="-10"/>
                      <w:sz w:val="21"/>
                      <w:szCs w:val="21"/>
                    </w:rPr>
                  </w:pPr>
                  <w:r>
                    <w:rPr>
                      <w:rFonts w:hint="eastAsia" w:ascii="仿宋_GB2312" w:hAnsi="仿宋_GB2312" w:eastAsia="仿宋_GB2312" w:cs="仿宋_GB2312"/>
                      <w:bCs/>
                      <w:spacing w:val="-10"/>
                      <w:sz w:val="21"/>
                      <w:szCs w:val="21"/>
                    </w:rPr>
                    <w:t>督促指导企业在醒目位置和重点区域分别设置安全风险公告栏，制作岗位安全风险告知卡，强化危险源监测和预警，设置明显警示标志，确保每名员工都能掌握安全风险的基本情况及防范、应急措施。</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安全风险公告栏、岗位安全风险告知卡、安全警示标志齐全有效。</w:t>
                  </w:r>
                </w:p>
              </w:tc>
              <w:tc>
                <w:tcPr>
                  <w:tcW w:w="3703"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现场抽查1个车间的安全风险公告栏，2个岗位安全风险告知卡和1个设备设施的安全警示标志。</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adjustRightInd w:val="0"/>
                    <w:snapToGrid w:val="0"/>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执法项。</w:t>
                  </w:r>
                </w:p>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未在有较大危险因素的生产经营场所和有关设施、设备上设置明显的安全警示标志。</w:t>
                  </w:r>
                </w:p>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执法处罚依据参见执法检查表。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60" w:type="dxa"/>
                  <w:vAlign w:val="center"/>
                </w:tcPr>
                <w:p>
                  <w:pPr>
                    <w:adjustRightInd w:val="0"/>
                    <w:snapToGrid w:val="0"/>
                    <w:spacing w:line="260" w:lineRule="exact"/>
                    <w:ind w:left="0" w:leftChars="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24</w:t>
                  </w:r>
                </w:p>
              </w:tc>
              <w:tc>
                <w:tcPr>
                  <w:tcW w:w="3320" w:type="dxa"/>
                  <w:vAlign w:val="center"/>
                </w:tcPr>
                <w:p>
                  <w:pPr>
                    <w:adjustRightInd w:val="0"/>
                    <w:snapToGrid w:val="0"/>
                    <w:spacing w:line="260" w:lineRule="exact"/>
                    <w:rPr>
                      <w:rFonts w:hint="eastAsia" w:ascii="仿宋_GB2312" w:hAnsi="仿宋_GB2312" w:eastAsia="仿宋_GB2312" w:cs="仿宋_GB2312"/>
                      <w:bCs/>
                      <w:spacing w:val="-2"/>
                      <w:sz w:val="21"/>
                      <w:szCs w:val="21"/>
                    </w:rPr>
                  </w:pPr>
                  <w:r>
                    <w:rPr>
                      <w:rFonts w:hint="eastAsia" w:ascii="仿宋_GB2312" w:hAnsi="仿宋_GB2312" w:eastAsia="仿宋_GB2312" w:cs="仿宋_GB2312"/>
                      <w:bCs/>
                      <w:spacing w:val="-2"/>
                      <w:sz w:val="21"/>
                      <w:szCs w:val="21"/>
                    </w:rPr>
                    <w:t>督促指导企业建立健全安全生产风险报告制度，明确风险管控和报告流程，接受政府监管和社会监督，定期通过信息系统平台向相关监管部门报送风险清单。</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安全生产风险报告制度健全，依法向相关监管部门报送风险清单。</w:t>
                  </w:r>
                </w:p>
              </w:tc>
              <w:tc>
                <w:tcPr>
                  <w:tcW w:w="3703"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查阅信息系统上的企业风险清单报告。</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adjustRightInd w:val="0"/>
                    <w:snapToGrid w:val="0"/>
                    <w:spacing w:line="260" w:lineRule="exact"/>
                    <w:ind w:left="0" w:leftChars="0" w:firstLine="0" w:firstLineChars="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7" w:hRule="atLeast"/>
              </w:trPr>
              <w:tc>
                <w:tcPr>
                  <w:tcW w:w="14715" w:type="dxa"/>
                  <w:gridSpan w:val="6"/>
                  <w:vAlign w:val="center"/>
                </w:tcPr>
                <w:p>
                  <w:pPr>
                    <w:pStyle w:val="2"/>
                    <w:ind w:left="0" w:leftChars="0"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b/>
                      <w:bCs/>
                      <w:sz w:val="28"/>
                      <w:szCs w:val="28"/>
                    </w:rPr>
                    <w:t>（四）健全完善企业安全隐患排查治理机制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40" w:hRule="atLeast"/>
              </w:trPr>
              <w:tc>
                <w:tcPr>
                  <w:tcW w:w="760" w:type="dxa"/>
                  <w:vAlign w:val="center"/>
                </w:tcPr>
                <w:p>
                  <w:pPr>
                    <w:adjustRightInd w:val="0"/>
                    <w:snapToGrid w:val="0"/>
                    <w:spacing w:line="240" w:lineRule="exact"/>
                    <w:ind w:left="0" w:leftChars="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25</w:t>
                  </w:r>
                </w:p>
              </w:tc>
              <w:tc>
                <w:tcPr>
                  <w:tcW w:w="3320" w:type="dxa"/>
                  <w:vAlign w:val="center"/>
                </w:tcPr>
                <w:p>
                  <w:pPr>
                    <w:adjustRightInd w:val="0"/>
                    <w:snapToGrid w:val="0"/>
                    <w:spacing w:line="24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督促指导企业建立健全以风险辨识管控为基础的隐患排查治理制度，制定符合企业实际的隐患排查治理清单，完善隐患排查治理等重点环节的程序、方法和标准，明确和细化隐患排查的事项、内容和频次，强化对存在重大风险的场所、环节、部位的隐患排查，并通过信息系统平台，及时向</w:t>
                  </w:r>
                  <w:r>
                    <w:rPr>
                      <w:rFonts w:hint="eastAsia" w:ascii="仿宋_GB2312" w:hAnsi="仿宋_GB2312" w:cs="仿宋_GB2312"/>
                      <w:bCs/>
                      <w:sz w:val="21"/>
                      <w:szCs w:val="21"/>
                      <w:lang w:eastAsia="zh-CN"/>
                    </w:rPr>
                    <w:t>属地管理部门</w:t>
                  </w:r>
                  <w:r>
                    <w:rPr>
                      <w:rFonts w:hint="eastAsia" w:ascii="仿宋_GB2312" w:hAnsi="仿宋_GB2312" w:eastAsia="仿宋_GB2312" w:cs="仿宋_GB2312"/>
                      <w:bCs/>
                      <w:sz w:val="21"/>
                      <w:szCs w:val="21"/>
                    </w:rPr>
                    <w:t>和企业职代会“双报告”风险管控和隐患排查治理情况。</w:t>
                  </w:r>
                </w:p>
              </w:tc>
              <w:tc>
                <w:tcPr>
                  <w:tcW w:w="2657" w:type="dxa"/>
                  <w:vAlign w:val="center"/>
                </w:tcPr>
                <w:p>
                  <w:pPr>
                    <w:adjustRightInd w:val="0"/>
                    <w:snapToGrid w:val="0"/>
                    <w:spacing w:line="24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企业隐患排查治理制度完善，及时向</w:t>
                  </w:r>
                  <w:r>
                    <w:rPr>
                      <w:rFonts w:hint="eastAsia" w:ascii="仿宋_GB2312" w:hAnsi="仿宋_GB2312" w:cs="仿宋_GB2312"/>
                      <w:bCs/>
                      <w:sz w:val="21"/>
                      <w:szCs w:val="21"/>
                      <w:lang w:eastAsia="zh-CN"/>
                    </w:rPr>
                    <w:t>属地管理</w:t>
                  </w:r>
                  <w:r>
                    <w:rPr>
                      <w:rFonts w:hint="eastAsia" w:ascii="仿宋_GB2312" w:hAnsi="仿宋_GB2312" w:eastAsia="仿宋_GB2312" w:cs="仿宋_GB2312"/>
                      <w:bCs/>
                      <w:sz w:val="21"/>
                      <w:szCs w:val="21"/>
                    </w:rPr>
                    <w:t>部门和企业职代会“双报告”风险管控和隐患排查治理情况。</w:t>
                  </w:r>
                </w:p>
              </w:tc>
              <w:tc>
                <w:tcPr>
                  <w:tcW w:w="3703" w:type="dxa"/>
                  <w:vAlign w:val="center"/>
                </w:tcPr>
                <w:p>
                  <w:pPr>
                    <w:adjustRightInd w:val="0"/>
                    <w:snapToGrid w:val="0"/>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1.</w:t>
                  </w:r>
                  <w:r>
                    <w:rPr>
                      <w:rFonts w:hint="eastAsia" w:ascii="仿宋_GB2312" w:hAnsi="仿宋_GB2312" w:eastAsia="仿宋_GB2312" w:cs="仿宋_GB2312"/>
                      <w:sz w:val="21"/>
                      <w:szCs w:val="21"/>
                    </w:rPr>
                    <w:t>查阅企业隐患排查治理制度，是否明确责任、机制、程序、方法、资金等要求。</w:t>
                  </w:r>
                </w:p>
                <w:p>
                  <w:pPr>
                    <w:adjustRightInd w:val="0"/>
                    <w:snapToGrid w:val="0"/>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2.查阅企业隐患排查治理清单，是否明确和细化隐患排查的事项、内容和频次。</w:t>
                  </w:r>
                </w:p>
                <w:p>
                  <w:pPr>
                    <w:adjustRightInd w:val="0"/>
                    <w:snapToGrid w:val="0"/>
                    <w:spacing w:line="240" w:lineRule="exact"/>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bCs/>
                      <w:sz w:val="21"/>
                      <w:szCs w:val="21"/>
                    </w:rPr>
                    <w:t>查阅企业隐患排查治理台账是否规范健全，“双报告”记录。</w:t>
                  </w:r>
                </w:p>
              </w:tc>
              <w:tc>
                <w:tcPr>
                  <w:tcW w:w="1395" w:type="dxa"/>
                  <w:vAlign w:val="center"/>
                </w:tcPr>
                <w:p>
                  <w:pPr>
                    <w:adjustRightInd w:val="0"/>
                    <w:snapToGrid w:val="0"/>
                    <w:spacing w:line="240" w:lineRule="exact"/>
                    <w:rPr>
                      <w:rFonts w:hint="eastAsia" w:ascii="仿宋_GB2312" w:hAnsi="仿宋_GB2312" w:eastAsia="仿宋_GB2312" w:cs="仿宋_GB2312"/>
                      <w:sz w:val="21"/>
                      <w:szCs w:val="21"/>
                    </w:rPr>
                  </w:pPr>
                </w:p>
              </w:tc>
              <w:tc>
                <w:tcPr>
                  <w:tcW w:w="2880" w:type="dxa"/>
                  <w:vAlign w:val="center"/>
                </w:tcPr>
                <w:p>
                  <w:pPr>
                    <w:adjustRightInd w:val="0"/>
                    <w:snapToGrid w:val="0"/>
                    <w:spacing w:line="24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执法项：</w:t>
                  </w:r>
                </w:p>
                <w:p>
                  <w:pPr>
                    <w:pStyle w:val="2"/>
                    <w:spacing w:line="24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未建立健全生产安全事故隐患排查制度，未采取技术、管理措施，及时发现并消除事故隐患，未将事故隐患排查治理情况如实记录或者未向从业人员通报。</w:t>
                  </w:r>
                </w:p>
                <w:p>
                  <w:pPr>
                    <w:pStyle w:val="2"/>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执法处罚依据参见执法检查表。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6" w:hRule="atLeast"/>
              </w:trPr>
              <w:tc>
                <w:tcPr>
                  <w:tcW w:w="760" w:type="dxa"/>
                  <w:vAlign w:val="center"/>
                </w:tcPr>
                <w:p>
                  <w:pPr>
                    <w:adjustRightInd w:val="0"/>
                    <w:snapToGrid w:val="0"/>
                    <w:spacing w:line="260" w:lineRule="exact"/>
                    <w:ind w:left="0" w:leftChars="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26</w:t>
                  </w:r>
                </w:p>
              </w:tc>
              <w:tc>
                <w:tcPr>
                  <w:tcW w:w="3320"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督促指导企业按照重大事故隐患判定</w:t>
                  </w:r>
                  <w:r>
                    <w:rPr>
                      <w:rFonts w:hint="eastAsia" w:ascii="仿宋_GB2312" w:hAnsi="仿宋_GB2312" w:cs="仿宋_GB2312"/>
                      <w:bCs/>
                      <w:sz w:val="21"/>
                      <w:szCs w:val="21"/>
                      <w:lang w:eastAsia="zh-CN"/>
                    </w:rPr>
                    <w:t>标准</w:t>
                  </w:r>
                  <w:r>
                    <w:rPr>
                      <w:rFonts w:hint="eastAsia" w:ascii="仿宋_GB2312" w:hAnsi="仿宋_GB2312" w:eastAsia="仿宋_GB2312" w:cs="仿宋_GB2312"/>
                      <w:bCs/>
                      <w:sz w:val="21"/>
                      <w:szCs w:val="21"/>
                    </w:rPr>
                    <w:t>，加强对重大事故隐患治理，制定并实施严格的隐患治理方案，做到责任、措施、资金、时限和预案“五到位”，并向</w:t>
                  </w:r>
                  <w:r>
                    <w:rPr>
                      <w:rFonts w:hint="eastAsia" w:ascii="仿宋_GB2312" w:hAnsi="仿宋_GB2312" w:cs="仿宋_GB2312"/>
                      <w:bCs/>
                      <w:sz w:val="21"/>
                      <w:szCs w:val="21"/>
                      <w:lang w:eastAsia="zh-CN"/>
                    </w:rPr>
                    <w:t>属地管理部门</w:t>
                  </w:r>
                  <w:r>
                    <w:rPr>
                      <w:rFonts w:hint="eastAsia" w:ascii="仿宋_GB2312" w:hAnsi="仿宋_GB2312" w:eastAsia="仿宋_GB2312" w:cs="仿宋_GB2312"/>
                      <w:bCs/>
                      <w:sz w:val="21"/>
                      <w:szCs w:val="21"/>
                    </w:rPr>
                    <w:t>报告。</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企业对照重大事故隐患判定标准自查自改到位。</w:t>
                  </w:r>
                </w:p>
              </w:tc>
              <w:tc>
                <w:tcPr>
                  <w:tcW w:w="3703"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1.是否按照重大隐患判定标准排查治理重大事故隐患。</w:t>
                  </w:r>
                </w:p>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2.现场抽查企业重点环节、部位、设备设施重大隐患排查治理情况。</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adjustRightInd w:val="0"/>
                    <w:snapToGrid w:val="0"/>
                    <w:spacing w:line="260" w:lineRule="exact"/>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执法项。</w:t>
                  </w:r>
                </w:p>
                <w:p>
                  <w:pPr>
                    <w:pStyle w:val="2"/>
                    <w:spacing w:line="260" w:lineRule="exact"/>
                    <w:ind w:left="0" w:leftChars="0"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执法处罚依据参见执法检查表及具体行业标准。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9" w:hRule="atLeast"/>
              </w:trPr>
              <w:tc>
                <w:tcPr>
                  <w:tcW w:w="760" w:type="dxa"/>
                  <w:vAlign w:val="center"/>
                </w:tcPr>
                <w:p>
                  <w:pPr>
                    <w:adjustRightInd w:val="0"/>
                    <w:snapToGrid w:val="0"/>
                    <w:spacing w:line="260" w:lineRule="exact"/>
                    <w:ind w:left="0" w:leftChars="0" w:firstLine="0" w:firstLineChars="0"/>
                    <w:jc w:val="center"/>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27</w:t>
                  </w:r>
                </w:p>
              </w:tc>
              <w:tc>
                <w:tcPr>
                  <w:tcW w:w="3320" w:type="dxa"/>
                  <w:vAlign w:val="center"/>
                </w:tcPr>
                <w:p>
                  <w:pPr>
                    <w:adjustRightInd w:val="0"/>
                    <w:snapToGrid w:val="0"/>
                    <w:spacing w:line="260" w:lineRule="exact"/>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督促指导企业通过信息系统平台，做到自查自改自报，实现全过程记录和</w:t>
                  </w:r>
                  <w:r>
                    <w:rPr>
                      <w:rFonts w:hint="eastAsia" w:ascii="仿宋_GB2312" w:hAnsi="仿宋_GB2312" w:cs="仿宋_GB2312"/>
                      <w:bCs/>
                      <w:color w:val="auto"/>
                      <w:sz w:val="21"/>
                      <w:szCs w:val="21"/>
                      <w:lang w:eastAsia="zh-CN"/>
                    </w:rPr>
                    <w:t>闭环管理</w:t>
                  </w:r>
                  <w:r>
                    <w:rPr>
                      <w:rFonts w:hint="eastAsia" w:ascii="仿宋_GB2312" w:hAnsi="仿宋_GB2312" w:eastAsia="仿宋_GB2312" w:cs="仿宋_GB2312"/>
                      <w:bCs/>
                      <w:color w:val="auto"/>
                      <w:sz w:val="21"/>
                      <w:szCs w:val="21"/>
                    </w:rPr>
                    <w:t>。</w:t>
                  </w:r>
                </w:p>
              </w:tc>
              <w:tc>
                <w:tcPr>
                  <w:tcW w:w="2657" w:type="dxa"/>
                  <w:vAlign w:val="center"/>
                </w:tcPr>
                <w:p>
                  <w:pPr>
                    <w:adjustRightInd w:val="0"/>
                    <w:snapToGrid w:val="0"/>
                    <w:spacing w:line="260" w:lineRule="exact"/>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企业使用</w:t>
                  </w:r>
                  <w:r>
                    <w:rPr>
                      <w:rFonts w:hint="eastAsia" w:ascii="仿宋_GB2312" w:hAnsi="仿宋_GB2312" w:cs="仿宋_GB2312"/>
                      <w:bCs/>
                      <w:color w:val="auto"/>
                      <w:sz w:val="21"/>
                      <w:szCs w:val="21"/>
                      <w:lang w:eastAsia="zh-CN"/>
                    </w:rPr>
                    <w:t>省级港口危货监管</w:t>
                  </w:r>
                  <w:r>
                    <w:rPr>
                      <w:rFonts w:hint="eastAsia" w:ascii="仿宋_GB2312" w:hAnsi="仿宋_GB2312" w:eastAsia="仿宋_GB2312" w:cs="仿宋_GB2312"/>
                      <w:bCs/>
                      <w:color w:val="auto"/>
                      <w:sz w:val="21"/>
                      <w:szCs w:val="21"/>
                    </w:rPr>
                    <w:t>平台，实现隐患排查治理自查自改自报、全过程记录和</w:t>
                  </w:r>
                  <w:r>
                    <w:rPr>
                      <w:rFonts w:hint="eastAsia" w:ascii="仿宋_GB2312" w:hAnsi="仿宋_GB2312" w:cs="仿宋_GB2312"/>
                      <w:bCs/>
                      <w:color w:val="auto"/>
                      <w:sz w:val="21"/>
                      <w:szCs w:val="21"/>
                      <w:lang w:eastAsia="zh-CN"/>
                    </w:rPr>
                    <w:t>闭环管理</w:t>
                  </w:r>
                  <w:r>
                    <w:rPr>
                      <w:rFonts w:hint="eastAsia" w:ascii="仿宋_GB2312" w:hAnsi="仿宋_GB2312" w:eastAsia="仿宋_GB2312" w:cs="仿宋_GB2312"/>
                      <w:bCs/>
                      <w:color w:val="auto"/>
                      <w:sz w:val="21"/>
                      <w:szCs w:val="21"/>
                    </w:rPr>
                    <w:t>。</w:t>
                  </w:r>
                </w:p>
              </w:tc>
              <w:tc>
                <w:tcPr>
                  <w:tcW w:w="3703" w:type="dxa"/>
                  <w:vAlign w:val="center"/>
                </w:tcPr>
                <w:p>
                  <w:pPr>
                    <w:adjustRightInd w:val="0"/>
                    <w:snapToGrid w:val="0"/>
                    <w:spacing w:line="260" w:lineRule="exact"/>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查阅企业在信息系统平台上的隐患排查自查情况。</w:t>
                  </w:r>
                </w:p>
              </w:tc>
              <w:tc>
                <w:tcPr>
                  <w:tcW w:w="1395" w:type="dxa"/>
                  <w:vAlign w:val="center"/>
                </w:tcPr>
                <w:p>
                  <w:pPr>
                    <w:adjustRightInd w:val="0"/>
                    <w:snapToGrid w:val="0"/>
                    <w:spacing w:line="260" w:lineRule="exact"/>
                    <w:rPr>
                      <w:rFonts w:hint="eastAsia" w:ascii="仿宋_GB2312" w:hAnsi="仿宋_GB2312" w:eastAsia="仿宋_GB2312" w:cs="仿宋_GB2312"/>
                      <w:bCs/>
                      <w:color w:val="auto"/>
                      <w:sz w:val="21"/>
                      <w:szCs w:val="21"/>
                    </w:rPr>
                  </w:pPr>
                </w:p>
              </w:tc>
              <w:tc>
                <w:tcPr>
                  <w:tcW w:w="2880" w:type="dxa"/>
                  <w:vAlign w:val="center"/>
                </w:tcPr>
                <w:p>
                  <w:pPr>
                    <w:adjustRightInd w:val="0"/>
                    <w:snapToGrid w:val="0"/>
                    <w:spacing w:line="260" w:lineRule="exact"/>
                    <w:ind w:left="0" w:leftChars="0" w:firstLine="0" w:firstLineChars="0"/>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0" w:hRule="atLeast"/>
              </w:trPr>
              <w:tc>
                <w:tcPr>
                  <w:tcW w:w="14715" w:type="dxa"/>
                  <w:gridSpan w:val="6"/>
                  <w:vAlign w:val="center"/>
                </w:tcPr>
                <w:p>
                  <w:pPr>
                    <w:adjustRightInd w:val="0"/>
                    <w:snapToGrid w:val="0"/>
                    <w:spacing w:line="280" w:lineRule="exact"/>
                    <w:rPr>
                      <w:rFonts w:hint="eastAsia" w:ascii="仿宋_GB2312" w:hAnsi="仿宋_GB2312" w:eastAsia="仿宋_GB2312" w:cs="仿宋_GB2312"/>
                      <w:bCs/>
                      <w:sz w:val="24"/>
                    </w:rPr>
                  </w:pPr>
                  <w:r>
                    <w:rPr>
                      <w:rFonts w:hint="eastAsia" w:ascii="仿宋_GB2312" w:hAnsi="仿宋_GB2312" w:eastAsia="仿宋_GB2312" w:cs="仿宋_GB2312"/>
                      <w:b/>
                      <w:sz w:val="28"/>
                      <w:szCs w:val="28"/>
                    </w:rPr>
                    <w:t>（五）推动企业安全生产社会治理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4" w:hRule="atLeast"/>
              </w:trPr>
              <w:tc>
                <w:tcPr>
                  <w:tcW w:w="760" w:type="dxa"/>
                  <w:vAlign w:val="center"/>
                </w:tcPr>
                <w:p>
                  <w:pPr>
                    <w:adjustRightInd w:val="0"/>
                    <w:snapToGrid w:val="0"/>
                    <w:spacing w:line="260" w:lineRule="exact"/>
                    <w:ind w:left="0" w:leftChars="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28</w:t>
                  </w:r>
                </w:p>
              </w:tc>
              <w:tc>
                <w:tcPr>
                  <w:tcW w:w="3320" w:type="dxa"/>
                  <w:vAlign w:val="center"/>
                </w:tcPr>
                <w:p>
                  <w:pPr>
                    <w:adjustRightInd w:val="0"/>
                    <w:snapToGrid w:val="0"/>
                    <w:spacing w:line="260" w:lineRule="exact"/>
                    <w:rPr>
                      <w:rFonts w:hint="eastAsia" w:ascii="仿宋_GB2312" w:hAnsi="仿宋_GB2312" w:eastAsia="仿宋_GB2312" w:cs="仿宋_GB2312"/>
                      <w:bCs/>
                      <w:spacing w:val="-4"/>
                      <w:sz w:val="21"/>
                      <w:szCs w:val="21"/>
                    </w:rPr>
                  </w:pPr>
                  <w:r>
                    <w:rPr>
                      <w:rFonts w:hint="eastAsia" w:ascii="仿宋_GB2312" w:hAnsi="仿宋_GB2312" w:eastAsia="仿宋_GB2312" w:cs="仿宋_GB2312"/>
                      <w:bCs/>
                      <w:spacing w:val="-4"/>
                      <w:sz w:val="21"/>
                      <w:szCs w:val="21"/>
                    </w:rPr>
                    <w:t>督促指导企业通过各种方式途径，向社会和全体员工公开落实主体责任、健全管理体系、加大安全投入、严格风险管控、强化隐患治理等情况。</w:t>
                  </w:r>
                </w:p>
              </w:tc>
              <w:tc>
                <w:tcPr>
                  <w:tcW w:w="2657"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企业公开向社会和全体员工作出承诺。</w:t>
                  </w:r>
                </w:p>
              </w:tc>
              <w:tc>
                <w:tcPr>
                  <w:tcW w:w="3703" w:type="dxa"/>
                  <w:vAlign w:val="center"/>
                </w:tcPr>
                <w:p>
                  <w:pPr>
                    <w:adjustRightInd w:val="0"/>
                    <w:snapToGrid w:val="0"/>
                    <w:spacing w:line="26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查阅企业安全生产承诺记录。</w:t>
                  </w:r>
                </w:p>
              </w:tc>
              <w:tc>
                <w:tcPr>
                  <w:tcW w:w="1395" w:type="dxa"/>
                  <w:vAlign w:val="center"/>
                </w:tcPr>
                <w:p>
                  <w:pPr>
                    <w:adjustRightInd w:val="0"/>
                    <w:snapToGrid w:val="0"/>
                    <w:spacing w:line="260" w:lineRule="exact"/>
                    <w:rPr>
                      <w:rFonts w:hint="eastAsia" w:ascii="仿宋_GB2312" w:hAnsi="仿宋_GB2312" w:eastAsia="仿宋_GB2312" w:cs="仿宋_GB2312"/>
                      <w:bCs/>
                      <w:sz w:val="21"/>
                      <w:szCs w:val="21"/>
                    </w:rPr>
                  </w:pPr>
                </w:p>
              </w:tc>
              <w:tc>
                <w:tcPr>
                  <w:tcW w:w="2880" w:type="dxa"/>
                  <w:vAlign w:val="center"/>
                </w:tcPr>
                <w:p>
                  <w:pPr>
                    <w:adjustRightInd w:val="0"/>
                    <w:snapToGrid w:val="0"/>
                    <w:spacing w:line="260" w:lineRule="exact"/>
                    <w:ind w:left="0" w:leftChars="0" w:firstLine="0" w:firstLineChars="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3" w:hRule="atLeast"/>
              </w:trPr>
              <w:tc>
                <w:tcPr>
                  <w:tcW w:w="760" w:type="dxa"/>
                  <w:vAlign w:val="center"/>
                </w:tcPr>
                <w:p>
                  <w:pPr>
                    <w:adjustRightInd w:val="0"/>
                    <w:snapToGrid w:val="0"/>
                    <w:spacing w:line="260" w:lineRule="exact"/>
                    <w:ind w:left="0" w:leftChars="0" w:firstLine="0" w:firstLineChars="0"/>
                    <w:jc w:val="center"/>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29</w:t>
                  </w:r>
                </w:p>
              </w:tc>
              <w:tc>
                <w:tcPr>
                  <w:tcW w:w="3320" w:type="dxa"/>
                  <w:vAlign w:val="center"/>
                </w:tcPr>
                <w:p>
                  <w:pPr>
                    <w:adjustRightInd w:val="0"/>
                    <w:snapToGrid w:val="0"/>
                    <w:spacing w:line="260" w:lineRule="exact"/>
                    <w:rPr>
                      <w:rFonts w:hint="eastAsia" w:ascii="仿宋_GB2312" w:hAnsi="仿宋_GB2312" w:eastAsia="仿宋_GB2312" w:cs="仿宋_GB2312"/>
                      <w:bCs/>
                      <w:color w:val="auto"/>
                      <w:spacing w:val="-4"/>
                      <w:sz w:val="21"/>
                      <w:szCs w:val="21"/>
                    </w:rPr>
                  </w:pPr>
                  <w:r>
                    <w:rPr>
                      <w:rFonts w:hint="eastAsia" w:ascii="仿宋_GB2312" w:hAnsi="仿宋_GB2312" w:eastAsia="仿宋_GB2312" w:cs="仿宋_GB2312"/>
                      <w:bCs/>
                      <w:color w:val="auto"/>
                      <w:spacing w:val="-4"/>
                      <w:sz w:val="21"/>
                      <w:szCs w:val="21"/>
                    </w:rPr>
                    <w:t>督促指导高危行业领域生产经营单位投保安全生产责任保险。</w:t>
                  </w:r>
                </w:p>
              </w:tc>
              <w:tc>
                <w:tcPr>
                  <w:tcW w:w="2657" w:type="dxa"/>
                  <w:vAlign w:val="center"/>
                </w:tcPr>
                <w:p>
                  <w:pPr>
                    <w:adjustRightInd w:val="0"/>
                    <w:snapToGrid w:val="0"/>
                    <w:spacing w:line="260" w:lineRule="exact"/>
                    <w:rPr>
                      <w:rFonts w:hint="eastAsia" w:ascii="仿宋_GB2312" w:hAnsi="仿宋_GB2312" w:eastAsia="仿宋_GB2312" w:cs="仿宋_GB2312"/>
                      <w:bCs/>
                      <w:color w:val="auto"/>
                      <w:sz w:val="21"/>
                      <w:szCs w:val="21"/>
                    </w:rPr>
                  </w:pPr>
                  <w:r>
                    <w:rPr>
                      <w:rFonts w:hint="eastAsia" w:ascii="仿宋_GB2312" w:hAnsi="仿宋_GB2312" w:eastAsia="仿宋_GB2312" w:cs="仿宋_GB2312"/>
                      <w:bCs/>
                      <w:spacing w:val="-4"/>
                      <w:sz w:val="21"/>
                      <w:szCs w:val="21"/>
                    </w:rPr>
                    <w:t>高危行业领域生产经营单位</w:t>
                  </w:r>
                  <w:r>
                    <w:rPr>
                      <w:rFonts w:hint="eastAsia" w:ascii="仿宋_GB2312" w:hAnsi="仿宋_GB2312" w:eastAsia="仿宋_GB2312" w:cs="仿宋_GB2312"/>
                      <w:bCs/>
                      <w:color w:val="auto"/>
                      <w:sz w:val="21"/>
                      <w:szCs w:val="21"/>
                    </w:rPr>
                    <w:t>投保安全生产责任保险情况。</w:t>
                  </w:r>
                </w:p>
              </w:tc>
              <w:tc>
                <w:tcPr>
                  <w:tcW w:w="3703" w:type="dxa"/>
                  <w:vAlign w:val="center"/>
                </w:tcPr>
                <w:p>
                  <w:pPr>
                    <w:adjustRightInd w:val="0"/>
                    <w:snapToGrid w:val="0"/>
                    <w:spacing w:line="260" w:lineRule="exact"/>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查阅</w:t>
                  </w:r>
                  <w:r>
                    <w:rPr>
                      <w:rFonts w:hint="eastAsia" w:ascii="仿宋_GB2312" w:hAnsi="仿宋_GB2312" w:eastAsia="仿宋_GB2312" w:cs="仿宋_GB2312"/>
                      <w:bCs/>
                      <w:spacing w:val="-4"/>
                      <w:sz w:val="21"/>
                      <w:szCs w:val="21"/>
                    </w:rPr>
                    <w:t>高危行业领域生产经营单位</w:t>
                  </w:r>
                  <w:r>
                    <w:rPr>
                      <w:rFonts w:hint="eastAsia" w:ascii="仿宋_GB2312" w:hAnsi="仿宋_GB2312" w:eastAsia="仿宋_GB2312" w:cs="仿宋_GB2312"/>
                      <w:bCs/>
                      <w:color w:val="auto"/>
                      <w:sz w:val="21"/>
                      <w:szCs w:val="21"/>
                    </w:rPr>
                    <w:t>是否投保安全生产责任保险。</w:t>
                  </w:r>
                </w:p>
              </w:tc>
              <w:tc>
                <w:tcPr>
                  <w:tcW w:w="1395" w:type="dxa"/>
                  <w:vAlign w:val="center"/>
                </w:tcPr>
                <w:p>
                  <w:pPr>
                    <w:adjustRightInd w:val="0"/>
                    <w:snapToGrid w:val="0"/>
                    <w:spacing w:line="260" w:lineRule="exact"/>
                    <w:rPr>
                      <w:rFonts w:hint="eastAsia" w:ascii="仿宋_GB2312" w:hAnsi="仿宋_GB2312" w:eastAsia="仿宋_GB2312" w:cs="仿宋_GB2312"/>
                      <w:bCs/>
                      <w:color w:val="auto"/>
                      <w:sz w:val="21"/>
                      <w:szCs w:val="21"/>
                    </w:rPr>
                  </w:pPr>
                </w:p>
              </w:tc>
              <w:tc>
                <w:tcPr>
                  <w:tcW w:w="2880" w:type="dxa"/>
                  <w:vAlign w:val="center"/>
                </w:tcPr>
                <w:p>
                  <w:pPr>
                    <w:adjustRightInd w:val="0"/>
                    <w:snapToGrid w:val="0"/>
                    <w:spacing w:line="260" w:lineRule="exact"/>
                    <w:ind w:left="0" w:leftChars="0" w:firstLine="0" w:firstLineChars="0"/>
                    <w:rPr>
                      <w:rFonts w:hint="eastAsia" w:ascii="仿宋_GB2312" w:hAnsi="仿宋_GB2312" w:eastAsia="仿宋_GB2312" w:cs="仿宋_GB2312"/>
                      <w:bCs/>
                      <w:color w:val="auto"/>
                      <w:sz w:val="21"/>
                      <w:szCs w:val="21"/>
                    </w:rPr>
                  </w:pPr>
                  <w:bookmarkStart w:id="0" w:name="_GoBack"/>
                  <w:bookmarkEnd w:id="0"/>
                  <w:r>
                    <w:rPr>
                      <w:rFonts w:hint="eastAsia" w:ascii="仿宋_GB2312" w:hAnsi="仿宋_GB2312" w:eastAsia="仿宋_GB2312" w:cs="仿宋_GB2312"/>
                      <w:bCs/>
                      <w:color w:val="auto"/>
                      <w:sz w:val="21"/>
                      <w:szCs w:val="21"/>
                    </w:rPr>
                    <w:t>检查项。</w:t>
                  </w:r>
                </w:p>
              </w:tc>
            </w:tr>
          </w:tbl>
          <w:p>
            <w:pPr>
              <w:rPr>
                <w:rFonts w:hint="eastAsia" w:ascii="仿宋_GB2312" w:hAnsi="仿宋_GB2312" w:eastAsia="仿宋_GB2312" w:cs="仿宋_GB2312"/>
              </w:rPr>
            </w:pPr>
          </w:p>
          <w:p>
            <w:pPr>
              <w:widowControl/>
              <w:spacing w:line="300" w:lineRule="exact"/>
              <w:jc w:val="left"/>
              <w:rPr>
                <w:color w:val="000000"/>
                <w:kern w:val="0"/>
                <w:sz w:val="22"/>
              </w:rPr>
            </w:pPr>
          </w:p>
        </w:tc>
      </w:tr>
    </w:tbl>
    <w:p>
      <w:pPr>
        <w:adjustRightInd w:val="0"/>
        <w:snapToGrid w:val="0"/>
        <w:spacing w:line="560" w:lineRule="exact"/>
        <w:jc w:val="left"/>
        <w:rPr>
          <w:rFonts w:hint="eastAsia" w:ascii="仿宋_GB2312" w:hAnsi="仿宋_GB2312" w:eastAsia="仿宋_GB2312" w:cs="仿宋_GB2312"/>
          <w:color w:val="000000"/>
          <w:sz w:val="28"/>
          <w:szCs w:val="28"/>
        </w:rPr>
      </w:pPr>
    </w:p>
    <w:p>
      <w:pPr>
        <w:pStyle w:val="2"/>
        <w:ind w:left="0" w:leftChars="0" w:firstLine="0" w:firstLineChars="0"/>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8" w:right="1701" w:bottom="1588" w:left="1701" w:header="851" w:footer="1035" w:gutter="0"/>
      <w:pgNumType w:fmt="decimal"/>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10" w:firstLineChars="111"/>
      <w:jc w:val="right"/>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ind w:firstLine="310" w:firstLineChars="111"/>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6"/>
                      <w:ind w:firstLine="310" w:firstLineChars="111"/>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6"/>
      <w:ind w:firstLine="360"/>
      <w:rPr>
        <w:rFonts w:hint="eastAsia"/>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98" w:firstLineChars="71"/>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ind w:firstLine="198" w:firstLineChars="71"/>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6"/>
                      <w:ind w:firstLine="198" w:firstLineChars="71"/>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6"/>
      <w:ind w:firstLine="360"/>
      <w:rPr>
        <w:rFonts w:hint="eastAsia"/>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54E9D"/>
    <w:rsid w:val="0A535FC2"/>
    <w:rsid w:val="11354E9D"/>
    <w:rsid w:val="243075E6"/>
    <w:rsid w:val="24772484"/>
    <w:rsid w:val="2C6A6EE6"/>
    <w:rsid w:val="457C7909"/>
    <w:rsid w:val="639757EB"/>
    <w:rsid w:val="72E475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afterLines="0"/>
      <w:ind w:firstLine="420" w:firstLineChars="200"/>
    </w:pPr>
    <w:rPr>
      <w:rFonts w:ascii="Calibri" w:hAnsi="Calibri" w:eastAsia="宋体" w:cs="Times New Roman"/>
      <w:szCs w:val="24"/>
    </w:rPr>
  </w:style>
  <w:style w:type="paragraph" w:styleId="3">
    <w:name w:val="Body Text Indent"/>
    <w:basedOn w:val="1"/>
    <w:next w:val="4"/>
    <w:qFormat/>
    <w:uiPriority w:val="0"/>
    <w:pPr>
      <w:spacing w:after="120" w:afterLines="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Body Text Indent 2"/>
    <w:basedOn w:val="1"/>
    <w:qFormat/>
    <w:uiPriority w:val="0"/>
    <w:pPr>
      <w:keepNext w:val="0"/>
      <w:keepLines w:val="0"/>
      <w:widowControl w:val="0"/>
      <w:suppressLineNumbers w:val="0"/>
      <w:ind w:left="105" w:firstLine="525" w:firstLineChars="0"/>
      <w:jc w:val="both"/>
    </w:pPr>
    <w:rPr>
      <w:rFonts w:hint="default" w:ascii="仿宋_GB2312" w:hAnsi="宋体" w:eastAsia="仿宋_GB2312" w:cs="仿宋_GB2312"/>
      <w:kern w:val="2"/>
      <w:sz w:val="28"/>
      <w:szCs w:val="28"/>
      <w:lang w:val="en-US" w:eastAsia="zh-CN" w:bidi="ar"/>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100" w:beforeLines="0" w:beforeAutospacing="1" w:after="100" w:afterLines="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2">
    <w:name w:val="Table Paragraph"/>
    <w:basedOn w:val="1"/>
    <w:unhideWhenUsed/>
    <w:qFormat/>
    <w:uiPriority w:val="1"/>
    <w:pPr>
      <w:spacing w:before="0" w:beforeLines="0"/>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2021-01-29T09:37:00Z</dcterms:created>
  <dc:creator>王小横</dc:creator>
  <cp:lastModifiedBy>王小横</cp:lastModifiedBy>
  <cp:lastPrinted>2021-02-01T06:57:00Z</cp:lastPrinted>
  <dcterms:modified xsi:type="dcterms:W3CDTF">2021-02-01T08:09:18Z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