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firstLine="0" w:firstLineChars="0"/>
        <w:rPr>
          <w:rFonts w:hint="eastAsia" w:ascii="黑体" w:hAnsi="黑体" w:eastAsia="黑体" w:cs="黑体"/>
          <w:kern w:val="0"/>
          <w:sz w:val="32"/>
          <w:szCs w:val="32"/>
        </w:rPr>
      </w:pPr>
      <w:r>
        <w:rPr>
          <w:rFonts w:hint="eastAsia" w:ascii="黑体" w:hAnsi="黑体" w:eastAsia="黑体" w:cs="黑体"/>
          <w:kern w:val="0"/>
          <w:sz w:val="32"/>
          <w:szCs w:val="32"/>
        </w:rPr>
        <w:t>附件2</w:t>
      </w:r>
    </w:p>
    <w:p>
      <w:pPr>
        <w:pStyle w:val="2"/>
        <w:widowControl w:val="0"/>
        <w:shd w:val="clear" w:color="auto" w:fill="FFFFFF"/>
        <w:adjustRightInd w:val="0"/>
        <w:snapToGrid w:val="0"/>
        <w:spacing w:before="0" w:beforeLines="0" w:beforeAutospacing="0" w:after="0" w:afterLines="0" w:afterAutospacing="0" w:line="560" w:lineRule="exact"/>
        <w:jc w:val="center"/>
        <w:rPr>
          <w:rFonts w:hint="eastAsia" w:ascii="仿宋_GB2312" w:hAnsi="仿宋_GB2312" w:eastAsia="仿宋_GB2312" w:cs="仿宋_GB2312"/>
          <w:b/>
          <w:color w:val="000000"/>
          <w:sz w:val="36"/>
          <w:szCs w:val="36"/>
        </w:rPr>
      </w:pPr>
      <w:r>
        <w:rPr>
          <w:rFonts w:hint="eastAsia"/>
          <w:b/>
          <w:color w:val="000000"/>
          <w:sz w:val="36"/>
          <w:szCs w:val="36"/>
        </w:rPr>
        <w:t>企业安全生产主体责任告知书</w:t>
      </w:r>
    </w:p>
    <w:p>
      <w:pPr>
        <w:pStyle w:val="2"/>
        <w:widowControl w:val="0"/>
        <w:shd w:val="clear" w:color="auto" w:fill="FFFFFF"/>
        <w:adjustRightInd w:val="0"/>
        <w:snapToGrid w:val="0"/>
        <w:spacing w:before="0" w:beforeLines="0" w:beforeAutospacing="0" w:after="0" w:afterLines="0" w:afterAutospacing="0" w:line="560" w:lineRule="exact"/>
        <w:jc w:val="both"/>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　　</w:t>
      </w:r>
    </w:p>
    <w:p>
      <w:pPr>
        <w:pStyle w:val="2"/>
        <w:widowControl w:val="0"/>
        <w:shd w:val="clear" w:color="auto" w:fill="FFFFFF"/>
        <w:adjustRightInd w:val="0"/>
        <w:snapToGrid w:val="0"/>
        <w:spacing w:before="0" w:beforeLines="0" w:beforeAutospacing="0" w:after="0" w:afterLines="0" w:afterAutospacing="0" w:line="400" w:lineRule="exact"/>
        <w:ind w:firstLine="480" w:firstLineChars="200"/>
        <w:jc w:val="both"/>
        <w:rPr>
          <w:rFonts w:hint="eastAsia" w:cs="仿宋_GB2312"/>
          <w:color w:val="000000"/>
        </w:rPr>
      </w:pPr>
      <w:r>
        <w:rPr>
          <w:rFonts w:hint="eastAsia" w:cs="仿宋_GB2312"/>
          <w:color w:val="000000"/>
        </w:rPr>
        <w:t>根据《中华人民共和国安全生产法》、《福建省安全生产条例》等法律法规，现将企业安全生产主体责任主要内容告知如下：</w:t>
      </w:r>
    </w:p>
    <w:p>
      <w:pPr>
        <w:pStyle w:val="2"/>
        <w:widowControl w:val="0"/>
        <w:shd w:val="clear" w:color="auto" w:fill="FFFFFF"/>
        <w:adjustRightInd w:val="0"/>
        <w:snapToGrid w:val="0"/>
        <w:spacing w:before="0" w:beforeLines="0" w:beforeAutospacing="0" w:after="0" w:afterLines="0" w:afterAutospacing="0" w:line="400" w:lineRule="exact"/>
        <w:ind w:firstLine="480" w:firstLineChars="200"/>
        <w:jc w:val="both"/>
        <w:rPr>
          <w:rFonts w:hint="eastAsia" w:cs="仿宋_GB2312"/>
          <w:color w:val="000000"/>
        </w:rPr>
      </w:pPr>
      <w:r>
        <w:rPr>
          <w:rFonts w:hint="eastAsia" w:cs="仿宋_GB2312"/>
          <w:color w:val="000000"/>
        </w:rPr>
        <w:t>1．必须依法生产经营，保证单位安全生产条件符合国家安全生产法律法规和标准规范，严格落实建设项目安全设施“三同时”，杜绝非法生产经营行为，杜绝违章指挥、强令违章冒险作业行为。</w:t>
      </w:r>
    </w:p>
    <w:p>
      <w:pPr>
        <w:pStyle w:val="2"/>
        <w:widowControl w:val="0"/>
        <w:shd w:val="clear" w:color="auto" w:fill="FFFFFF"/>
        <w:adjustRightInd w:val="0"/>
        <w:snapToGrid w:val="0"/>
        <w:spacing w:before="0" w:beforeLines="0" w:beforeAutospacing="0" w:after="0" w:afterLines="0" w:afterAutospacing="0" w:line="400" w:lineRule="exact"/>
        <w:ind w:firstLine="480" w:firstLineChars="200"/>
        <w:jc w:val="both"/>
        <w:rPr>
          <w:rFonts w:hint="eastAsia" w:cs="仿宋_GB2312"/>
          <w:color w:val="000000"/>
        </w:rPr>
      </w:pPr>
      <w:r>
        <w:rPr>
          <w:rFonts w:hint="eastAsia" w:cs="仿宋_GB2312"/>
          <w:color w:val="000000"/>
        </w:rPr>
        <w:t>2．单位主要负责人自觉履行安全生产法定职责，把安全生产工作与生产经营工作同计划、同部署、同检查、同落实。建立健全全员安全生产责任制和各项规章制度、操作规程，并监督落实、检查考核，确保安全生产规章制度和操作规程执行到位。</w:t>
      </w:r>
    </w:p>
    <w:p>
      <w:pPr>
        <w:pStyle w:val="2"/>
        <w:widowControl w:val="0"/>
        <w:shd w:val="clear" w:color="auto" w:fill="FFFFFF"/>
        <w:adjustRightInd w:val="0"/>
        <w:snapToGrid w:val="0"/>
        <w:spacing w:before="0" w:beforeLines="0" w:beforeAutospacing="0" w:after="0" w:afterLines="0" w:afterAutospacing="0" w:line="400" w:lineRule="exact"/>
        <w:ind w:firstLine="480" w:firstLineChars="200"/>
        <w:jc w:val="both"/>
        <w:rPr>
          <w:rFonts w:hint="eastAsia" w:cs="仿宋_GB2312"/>
          <w:color w:val="000000"/>
        </w:rPr>
      </w:pPr>
      <w:r>
        <w:rPr>
          <w:rFonts w:hint="eastAsia" w:cs="仿宋_GB2312"/>
          <w:color w:val="000000"/>
        </w:rPr>
        <w:t>3．依法建立安全生产管理机构，按要求设置安全总监，配备符合法定人数的安全生产管理人员，保证安全生产管理机构发挥职能作用，安全生产管理人员履行安全管理职责。</w:t>
      </w:r>
    </w:p>
    <w:p>
      <w:pPr>
        <w:pStyle w:val="2"/>
        <w:widowControl w:val="0"/>
        <w:shd w:val="clear" w:color="auto" w:fill="FFFFFF"/>
        <w:adjustRightInd w:val="0"/>
        <w:snapToGrid w:val="0"/>
        <w:spacing w:before="0" w:beforeLines="0" w:beforeAutospacing="0" w:after="0" w:afterLines="0" w:afterAutospacing="0" w:line="400" w:lineRule="exact"/>
        <w:ind w:firstLine="480" w:firstLineChars="200"/>
        <w:jc w:val="both"/>
        <w:rPr>
          <w:rFonts w:hint="eastAsia" w:cs="仿宋_GB2312"/>
          <w:color w:val="000000"/>
        </w:rPr>
      </w:pPr>
      <w:r>
        <w:rPr>
          <w:rFonts w:hint="eastAsia" w:cs="仿宋_GB2312"/>
          <w:color w:val="000000"/>
        </w:rPr>
        <w:t>4．落实全员安全生产教育培训制度，主要负责人和安全生产管理人员具备与本企业生产经营活动相适应的安全生产管理能力，特种作业人员按要求持证上岗；明确告知从业人员作业场所和工作岗位存在的危险危害因素、防范措施和应急措施。保证安全培训不合格者不得上岗、未持证者不得从事特种作业。</w:t>
      </w:r>
    </w:p>
    <w:p>
      <w:pPr>
        <w:pStyle w:val="2"/>
        <w:widowControl w:val="0"/>
        <w:shd w:val="clear" w:color="auto" w:fill="FFFFFF"/>
        <w:adjustRightInd w:val="0"/>
        <w:snapToGrid w:val="0"/>
        <w:spacing w:before="0" w:beforeLines="0" w:beforeAutospacing="0" w:after="0" w:afterLines="0" w:afterAutospacing="0" w:line="400" w:lineRule="exact"/>
        <w:jc w:val="both"/>
        <w:rPr>
          <w:rFonts w:hint="eastAsia" w:cs="仿宋_GB2312"/>
          <w:color w:val="000000"/>
        </w:rPr>
      </w:pPr>
      <w:r>
        <w:rPr>
          <w:rFonts w:hint="eastAsia" w:cs="仿宋_GB2312"/>
          <w:color w:val="000000"/>
        </w:rPr>
        <w:t xml:space="preserve">　  5．加强单位安全风险辨识管控，按规定组织开展“一图、一册、一报告、三公告”安全风险辨识管控，编制安全风险辨识清单、安全风险管控清单，绘制本单位“红橙黄蓝”四色安全风险分布图。每半年至少开展一次风险点危险源排查，全面识别安全风险，有效落实管控措施。 </w:t>
      </w:r>
    </w:p>
    <w:p>
      <w:pPr>
        <w:pStyle w:val="2"/>
        <w:widowControl w:val="0"/>
        <w:shd w:val="clear" w:color="auto" w:fill="FFFFFF"/>
        <w:adjustRightInd w:val="0"/>
        <w:snapToGrid w:val="0"/>
        <w:spacing w:before="0" w:beforeLines="0" w:beforeAutospacing="0" w:after="0" w:afterLines="0" w:afterAutospacing="0" w:line="400" w:lineRule="exact"/>
        <w:ind w:firstLine="480" w:firstLineChars="200"/>
        <w:jc w:val="both"/>
        <w:rPr>
          <w:rFonts w:hint="eastAsia" w:cs="仿宋_GB2312"/>
          <w:color w:val="000000"/>
        </w:rPr>
      </w:pPr>
      <w:r>
        <w:rPr>
          <w:rFonts w:hint="eastAsia" w:cs="仿宋_GB2312"/>
          <w:color w:val="000000"/>
        </w:rPr>
        <w:t>6．建立健全事故隐患排查治理机制，定期组织开展隐患排查，及时消除安全隐患，落实安全隐患自查、自改、自报、公示的闭环管理。按规定向当地安全监管部门报告重大事故隐患排查治理情况。</w:t>
      </w:r>
    </w:p>
    <w:p>
      <w:pPr>
        <w:pStyle w:val="2"/>
        <w:widowControl w:val="0"/>
        <w:shd w:val="clear" w:color="auto" w:fill="FFFFFF"/>
        <w:adjustRightInd w:val="0"/>
        <w:snapToGrid w:val="0"/>
        <w:spacing w:before="0" w:beforeLines="0" w:beforeAutospacing="0" w:after="0" w:afterLines="0" w:afterAutospacing="0" w:line="400" w:lineRule="exact"/>
        <w:ind w:firstLine="480" w:firstLineChars="200"/>
        <w:jc w:val="both"/>
        <w:rPr>
          <w:rFonts w:hint="eastAsia" w:cs="仿宋_GB2312"/>
          <w:color w:val="000000"/>
        </w:rPr>
      </w:pPr>
      <w:r>
        <w:rPr>
          <w:rFonts w:hint="eastAsia" w:cs="仿宋_GB2312"/>
          <w:color w:val="000000"/>
        </w:rPr>
        <w:t>7．规范作业现场管理，严格落实危险作业审批制度，对交叉作业现场专人统一协调指挥，对发包工程项目、出租场所和设备的安全生产实行统一协调并加强监督。加强设施设备管理，保证正常运行，不使用国家明令淘汰、禁止使用的危及安全生产的工艺设备。</w:t>
      </w:r>
    </w:p>
    <w:p>
      <w:pPr>
        <w:pStyle w:val="2"/>
        <w:widowControl w:val="0"/>
        <w:shd w:val="clear" w:color="auto" w:fill="FFFFFF"/>
        <w:adjustRightInd w:val="0"/>
        <w:snapToGrid w:val="0"/>
        <w:spacing w:before="0" w:beforeLines="0" w:beforeAutospacing="0" w:after="0" w:afterLines="0" w:afterAutospacing="0" w:line="400" w:lineRule="exact"/>
        <w:ind w:firstLine="480" w:firstLineChars="200"/>
        <w:jc w:val="both"/>
        <w:rPr>
          <w:rFonts w:hint="eastAsia" w:cs="仿宋_GB2312"/>
          <w:color w:val="000000"/>
        </w:rPr>
      </w:pPr>
      <w:r>
        <w:rPr>
          <w:rFonts w:hint="eastAsia" w:cs="仿宋_GB2312"/>
          <w:color w:val="000000"/>
        </w:rPr>
        <w:t>8．组织制定并实施本单位生产安全事故应急救援预案，按规定建立应急管理队伍，储备必要应急物资，每年至少组织一次事故应急救援演练；如发生生产安全事故，按规定报告当地安全监管部门和负有安全生产监管职责的有关部门。</w:t>
      </w:r>
    </w:p>
    <w:p>
      <w:pPr>
        <w:pStyle w:val="2"/>
        <w:widowControl w:val="0"/>
        <w:shd w:val="clear" w:color="auto" w:fill="FFFFFF"/>
        <w:adjustRightInd w:val="0"/>
        <w:snapToGrid w:val="0"/>
        <w:spacing w:before="0" w:beforeLines="0" w:beforeAutospacing="0" w:after="0" w:afterLines="0" w:afterAutospacing="0" w:line="400" w:lineRule="exact"/>
        <w:ind w:firstLine="480" w:firstLineChars="200"/>
        <w:jc w:val="both"/>
        <w:rPr>
          <w:rFonts w:hint="eastAsia" w:cs="仿宋_GB2312"/>
          <w:color w:val="000000"/>
        </w:rPr>
      </w:pPr>
      <w:r>
        <w:rPr>
          <w:rFonts w:hint="eastAsia" w:cs="仿宋_GB2312"/>
          <w:color w:val="000000"/>
        </w:rPr>
        <w:t>9．依法保证安全生产资金投入，依法提取和使用安全生产费用，不挤占、不挪用。按规定为从业人员提供符合国家标准或行业标准的</w:t>
      </w:r>
      <w:r>
        <w:rPr>
          <w:rFonts w:hint="eastAsia" w:cs="仿宋_GB2312"/>
        </w:rPr>
        <w:t>劳动防护用品</w:t>
      </w:r>
      <w:r>
        <w:rPr>
          <w:rFonts w:hint="eastAsia" w:cs="仿宋_GB2312"/>
          <w:color w:val="000000"/>
        </w:rPr>
        <w:t>，并监督教育从业人员按照国家规范佩戴、使用。依法为从业人员缴纳工伤保险费，按规定购买安全生产责任险。</w:t>
      </w:r>
    </w:p>
    <w:p>
      <w:pPr>
        <w:pStyle w:val="2"/>
        <w:widowControl w:val="0"/>
        <w:shd w:val="clear" w:color="auto" w:fill="FFFFFF"/>
        <w:adjustRightInd w:val="0"/>
        <w:snapToGrid w:val="0"/>
        <w:spacing w:before="0" w:beforeLines="0" w:beforeAutospacing="0" w:after="0" w:afterLines="0" w:afterAutospacing="0" w:line="400" w:lineRule="exact"/>
        <w:ind w:firstLine="480" w:firstLineChars="200"/>
        <w:jc w:val="both"/>
        <w:rPr>
          <w:rFonts w:hint="eastAsia" w:cs="仿宋_GB2312"/>
          <w:color w:val="000000"/>
        </w:rPr>
      </w:pPr>
      <w:r>
        <w:rPr>
          <w:rFonts w:hint="eastAsia" w:cs="仿宋_GB2312"/>
          <w:color w:val="000000"/>
        </w:rPr>
        <w:t>10．法律、法规及规章规定的其他安全生产主体责任。</w:t>
      </w:r>
    </w:p>
    <w:p>
      <w:pPr>
        <w:pStyle w:val="2"/>
        <w:widowControl w:val="0"/>
        <w:shd w:val="clear" w:color="auto" w:fill="FFFFFF"/>
        <w:adjustRightInd w:val="0"/>
        <w:snapToGrid w:val="0"/>
        <w:spacing w:before="0" w:beforeLines="0" w:beforeAutospacing="0" w:after="0" w:afterLines="0" w:afterAutospacing="0" w:line="400" w:lineRule="exact"/>
        <w:jc w:val="both"/>
        <w:rPr>
          <w:rFonts w:hint="eastAsia" w:cs="仿宋_GB2312"/>
          <w:b/>
          <w:color w:val="000000"/>
        </w:rPr>
      </w:pPr>
      <w:r>
        <w:rPr>
          <w:rFonts w:hint="eastAsia" w:cs="仿宋_GB2312"/>
          <w:color w:val="000000"/>
        </w:rPr>
        <w:t>　　</w:t>
      </w:r>
      <w:r>
        <w:rPr>
          <w:rFonts w:hint="eastAsia" w:cs="仿宋_GB2312"/>
          <w:b/>
          <w:color w:val="000000"/>
        </w:rPr>
        <w:t>如果你单位未正确履行安全生产主体责任，将承担行政、民事、刑事等方面的法律责任：</w:t>
      </w:r>
    </w:p>
    <w:p>
      <w:pPr>
        <w:pStyle w:val="2"/>
        <w:widowControl w:val="0"/>
        <w:shd w:val="clear" w:color="auto" w:fill="FFFFFF"/>
        <w:adjustRightInd w:val="0"/>
        <w:snapToGrid w:val="0"/>
        <w:spacing w:before="0" w:beforeLines="0" w:beforeAutospacing="0" w:after="0" w:afterLines="0" w:afterAutospacing="0" w:line="400" w:lineRule="exact"/>
        <w:jc w:val="both"/>
        <w:rPr>
          <w:rFonts w:hint="eastAsia" w:cs="仿宋_GB2312"/>
          <w:color w:val="000000"/>
        </w:rPr>
      </w:pPr>
      <w:r>
        <w:rPr>
          <w:rFonts w:hint="eastAsia" w:cs="仿宋_GB2312"/>
          <w:color w:val="000000"/>
        </w:rPr>
        <w:t>　　1．</w:t>
      </w:r>
      <w:r>
        <w:rPr>
          <w:rFonts w:hint="eastAsia" w:cs="仿宋_GB2312"/>
          <w:b/>
          <w:color w:val="000000"/>
        </w:rPr>
        <w:t>行政责任：</w:t>
      </w:r>
      <w:r>
        <w:rPr>
          <w:rFonts w:hint="eastAsia" w:cs="仿宋_GB2312"/>
          <w:color w:val="000000"/>
        </w:rPr>
        <w:t>单位将被停产停业整顿、罚款、没收违法所得、吊销证照、关闭等；主要负责人将被警告、记过、撤职，终身不得担任本行业生产经营单位主要负责人等。如发生一般事故的，最高被处以50万元罚款；发生较大事故的，最高被处以100万元罚款；发生重大事故的，最高被处以500万元罚款；发生特别重大事故，最高将被处以2000万元罚款。</w:t>
      </w:r>
    </w:p>
    <w:p>
      <w:pPr>
        <w:pStyle w:val="2"/>
        <w:widowControl w:val="0"/>
        <w:shd w:val="clear" w:color="auto" w:fill="FFFFFF"/>
        <w:adjustRightInd w:val="0"/>
        <w:snapToGrid w:val="0"/>
        <w:spacing w:before="0" w:beforeLines="0" w:beforeAutospacing="0" w:after="0" w:afterLines="0" w:afterAutospacing="0" w:line="400" w:lineRule="exact"/>
        <w:jc w:val="both"/>
        <w:rPr>
          <w:rFonts w:hint="eastAsia" w:cs="仿宋_GB2312"/>
          <w:color w:val="000000"/>
        </w:rPr>
      </w:pPr>
      <w:r>
        <w:rPr>
          <w:rFonts w:hint="eastAsia" w:cs="仿宋_GB2312"/>
          <w:color w:val="000000"/>
        </w:rPr>
        <w:t>　　2．</w:t>
      </w:r>
      <w:r>
        <w:rPr>
          <w:rFonts w:hint="eastAsia" w:cs="仿宋_GB2312"/>
          <w:b/>
          <w:color w:val="000000"/>
        </w:rPr>
        <w:t>民事责任：</w:t>
      </w:r>
      <w:r>
        <w:rPr>
          <w:rFonts w:hint="eastAsia" w:cs="仿宋_GB2312"/>
          <w:color w:val="000000"/>
        </w:rPr>
        <w:t>发生生产安全事故造成人员伤亡、他人财产损失的，承担赔偿责任；将生产经营项目、场所、设备发包或者出租给不具备安全生产条件或者相应资质的单位或者个人，导致发生生产安全事故给他人造成损害的，与承包方、出租方承担连带赔偿责任。</w:t>
      </w:r>
    </w:p>
    <w:p>
      <w:pPr>
        <w:pStyle w:val="2"/>
        <w:widowControl w:val="0"/>
        <w:shd w:val="clear" w:color="auto" w:fill="FFFFFF"/>
        <w:adjustRightInd w:val="0"/>
        <w:snapToGrid w:val="0"/>
        <w:spacing w:before="0" w:beforeLines="0" w:beforeAutospacing="0" w:after="0" w:afterLines="0" w:afterAutospacing="0" w:line="400" w:lineRule="exact"/>
        <w:ind w:firstLine="480" w:firstLineChars="200"/>
        <w:jc w:val="both"/>
        <w:rPr>
          <w:rFonts w:hint="eastAsia" w:cs="仿宋_GB2312"/>
          <w:color w:val="000000"/>
        </w:rPr>
      </w:pPr>
      <w:r>
        <w:rPr>
          <w:rFonts w:hint="eastAsia" w:cs="仿宋_GB2312"/>
          <w:color w:val="000000"/>
        </w:rPr>
        <w:t>3．</w:t>
      </w:r>
      <w:r>
        <w:rPr>
          <w:rFonts w:hint="eastAsia" w:cs="仿宋_GB2312"/>
          <w:b/>
          <w:color w:val="000000"/>
        </w:rPr>
        <w:t>刑事责任：</w:t>
      </w:r>
      <w:r>
        <w:rPr>
          <w:rFonts w:hint="eastAsia" w:cs="仿宋_GB2312"/>
          <w:color w:val="000000"/>
        </w:rPr>
        <w:t>依照刑法有关规定，如相关违法行为构成重大责任事故罪的，最高将被处以七年有期徒刑；构成非法经营罪及强令违章冒险作业罪的，最高将被处以十五年有期徒刑；如数罪并罚，最高将被处以二十年有期徒刑。</w:t>
      </w:r>
    </w:p>
    <w:p>
      <w:pPr>
        <w:pStyle w:val="2"/>
        <w:widowControl w:val="0"/>
        <w:shd w:val="clear" w:color="auto" w:fill="FFFFFF"/>
        <w:adjustRightInd w:val="0"/>
        <w:snapToGrid w:val="0"/>
        <w:spacing w:before="0" w:beforeLines="0" w:beforeAutospacing="0" w:after="0" w:afterLines="0" w:afterAutospacing="0" w:line="400" w:lineRule="exact"/>
        <w:ind w:firstLine="660"/>
        <w:jc w:val="both"/>
        <w:rPr>
          <w:rFonts w:hint="eastAsia" w:cs="仿宋_GB2312"/>
          <w:color w:val="000000"/>
        </w:rPr>
      </w:pPr>
    </w:p>
    <w:p>
      <w:pPr>
        <w:pStyle w:val="2"/>
        <w:widowControl w:val="0"/>
        <w:shd w:val="clear" w:color="auto" w:fill="FFFFFF"/>
        <w:adjustRightInd w:val="0"/>
        <w:snapToGrid w:val="0"/>
        <w:spacing w:before="0" w:beforeLines="0" w:beforeAutospacing="0" w:after="0" w:afterLines="0" w:afterAutospacing="0" w:line="400" w:lineRule="exact"/>
        <w:ind w:firstLine="660"/>
        <w:jc w:val="both"/>
        <w:rPr>
          <w:rFonts w:hint="eastAsia" w:cs="仿宋_GB2312"/>
          <w:color w:val="000000"/>
        </w:rPr>
      </w:pPr>
    </w:p>
    <w:p>
      <w:pPr>
        <w:pStyle w:val="2"/>
        <w:widowControl w:val="0"/>
        <w:shd w:val="clear" w:color="auto" w:fill="FFFFFF"/>
        <w:adjustRightInd w:val="0"/>
        <w:snapToGrid w:val="0"/>
        <w:spacing w:before="0" w:beforeLines="0" w:beforeAutospacing="0" w:after="0" w:afterLines="0" w:afterAutospacing="0" w:line="400" w:lineRule="exact"/>
        <w:ind w:firstLine="660"/>
        <w:jc w:val="both"/>
        <w:rPr>
          <w:rFonts w:hint="eastAsia" w:cs="仿宋_GB2312"/>
          <w:color w:val="000000"/>
        </w:rPr>
      </w:pPr>
    </w:p>
    <w:p>
      <w:pPr>
        <w:pStyle w:val="2"/>
        <w:widowControl w:val="0"/>
        <w:shd w:val="clear" w:color="auto" w:fill="FFFFFF"/>
        <w:adjustRightInd w:val="0"/>
        <w:snapToGrid w:val="0"/>
        <w:spacing w:before="0" w:beforeLines="0" w:beforeAutospacing="0" w:after="0" w:afterLines="0" w:afterAutospacing="0" w:line="400" w:lineRule="exact"/>
        <w:ind w:firstLine="660"/>
        <w:jc w:val="both"/>
        <w:rPr>
          <w:rFonts w:hint="eastAsia" w:cs="仿宋_GB2312"/>
          <w:color w:val="000000"/>
        </w:rPr>
      </w:pPr>
    </w:p>
    <w:p>
      <w:pPr>
        <w:pStyle w:val="2"/>
        <w:widowControl w:val="0"/>
        <w:shd w:val="clear" w:color="auto" w:fill="FFFFFF"/>
        <w:adjustRightInd w:val="0"/>
        <w:snapToGrid w:val="0"/>
        <w:spacing w:before="0" w:beforeLines="0" w:beforeAutospacing="0" w:after="0" w:afterLines="0" w:afterAutospacing="0" w:line="400" w:lineRule="exact"/>
        <w:ind w:firstLine="660"/>
        <w:jc w:val="both"/>
        <w:rPr>
          <w:rFonts w:hint="eastAsia" w:cs="仿宋_GB2312"/>
          <w:color w:val="000000"/>
        </w:rPr>
      </w:pPr>
    </w:p>
    <w:p>
      <w:pPr>
        <w:pStyle w:val="2"/>
        <w:widowControl w:val="0"/>
        <w:shd w:val="clear" w:color="auto" w:fill="FFFFFF"/>
        <w:adjustRightInd w:val="0"/>
        <w:snapToGrid w:val="0"/>
        <w:spacing w:before="0" w:beforeLines="0" w:beforeAutospacing="0" w:after="0" w:afterLines="0" w:afterAutospacing="0" w:line="400" w:lineRule="exact"/>
        <w:ind w:firstLine="660"/>
        <w:jc w:val="both"/>
        <w:rPr>
          <w:rFonts w:hint="eastAsia" w:cs="仿宋_GB2312"/>
          <w:color w:val="000000"/>
        </w:rPr>
      </w:pPr>
    </w:p>
    <w:p>
      <w:pPr>
        <w:pStyle w:val="2"/>
        <w:widowControl w:val="0"/>
        <w:shd w:val="clear" w:color="auto" w:fill="FFFFFF"/>
        <w:adjustRightInd w:val="0"/>
        <w:snapToGrid w:val="0"/>
        <w:spacing w:before="0" w:beforeLines="0" w:beforeAutospacing="0" w:after="0" w:afterLines="0" w:afterAutospacing="0" w:line="400" w:lineRule="exact"/>
        <w:ind w:firstLine="3852" w:firstLineChars="1605"/>
        <w:jc w:val="both"/>
        <w:rPr>
          <w:rFonts w:hint="eastAsia" w:cs="仿宋_GB2312"/>
          <w:color w:val="000000"/>
        </w:rPr>
      </w:pPr>
      <w:r>
        <w:rPr>
          <w:rFonts w:hint="eastAsia" w:cs="仿宋_GB2312"/>
        </w:rPr>
        <w:t>告知单位（盖章）：</w:t>
      </w:r>
    </w:p>
    <w:p>
      <w:pPr>
        <w:pStyle w:val="2"/>
        <w:widowControl w:val="0"/>
        <w:shd w:val="clear" w:color="auto" w:fill="FFFFFF"/>
        <w:adjustRightInd w:val="0"/>
        <w:snapToGrid w:val="0"/>
        <w:spacing w:before="0" w:beforeLines="0" w:beforeAutospacing="0" w:after="0" w:afterLines="0" w:afterAutospacing="0" w:line="400" w:lineRule="exact"/>
        <w:ind w:left="5120" w:leftChars="1600" w:right="640" w:firstLine="1200" w:firstLineChars="500"/>
        <w:rPr>
          <w:rFonts w:hint="eastAsia" w:cs="仿宋_GB2312"/>
        </w:rPr>
      </w:pPr>
      <w:r>
        <w:rPr>
          <w:rFonts w:hint="eastAsia" w:cs="仿宋_GB2312"/>
        </w:rPr>
        <w:t>2020年  月  日</w:t>
      </w:r>
    </w:p>
    <w:p>
      <w:pPr>
        <w:pStyle w:val="2"/>
        <w:widowControl w:val="0"/>
        <w:shd w:val="clear" w:color="auto" w:fill="FFFFFF"/>
        <w:adjustRightInd w:val="0"/>
        <w:snapToGrid w:val="0"/>
        <w:spacing w:before="0" w:beforeLines="0" w:beforeAutospacing="0" w:after="0" w:afterLines="0" w:afterAutospacing="0" w:line="400" w:lineRule="exact"/>
        <w:ind w:right="640"/>
        <w:rPr>
          <w:rFonts w:hint="eastAsia" w:cs="仿宋_GB2312"/>
        </w:rPr>
      </w:pPr>
    </w:p>
    <w:p>
      <w:pPr>
        <w:pStyle w:val="2"/>
        <w:widowControl w:val="0"/>
        <w:shd w:val="clear" w:color="auto" w:fill="FFFFFF"/>
        <w:adjustRightInd w:val="0"/>
        <w:snapToGrid w:val="0"/>
        <w:spacing w:before="0" w:beforeLines="0" w:beforeAutospacing="0" w:after="0" w:afterLines="0" w:afterAutospacing="0" w:line="400" w:lineRule="exact"/>
        <w:ind w:right="640"/>
        <w:rPr>
          <w:rFonts w:hint="eastAsia" w:cs="仿宋_GB2312"/>
        </w:rPr>
      </w:pPr>
    </w:p>
    <w:p>
      <w:pPr>
        <w:pStyle w:val="2"/>
        <w:widowControl w:val="0"/>
        <w:shd w:val="clear" w:color="auto" w:fill="FFFFFF"/>
        <w:adjustRightInd w:val="0"/>
        <w:snapToGrid w:val="0"/>
        <w:spacing w:before="0" w:beforeLines="0" w:beforeAutospacing="0" w:after="0" w:afterLines="0" w:afterAutospacing="0" w:line="400" w:lineRule="exact"/>
        <w:ind w:right="640"/>
        <w:rPr>
          <w:rFonts w:hint="eastAsia" w:cs="仿宋_GB2312"/>
        </w:rPr>
      </w:pPr>
    </w:p>
    <w:p>
      <w:pPr>
        <w:pStyle w:val="2"/>
        <w:widowControl w:val="0"/>
        <w:shd w:val="clear" w:color="auto" w:fill="FFFFFF"/>
        <w:adjustRightInd w:val="0"/>
        <w:snapToGrid w:val="0"/>
        <w:spacing w:before="0" w:beforeLines="0" w:beforeAutospacing="0" w:after="0" w:afterLines="0" w:afterAutospacing="0" w:line="400" w:lineRule="exact"/>
        <w:ind w:right="640"/>
        <w:rPr>
          <w:rFonts w:hint="eastAsia" w:ascii="仿宋_GB2312" w:hAnsi="仿宋_GB2312" w:eastAsia="仿宋_GB2312" w:cs="仿宋_GB2312"/>
        </w:rPr>
      </w:pPr>
    </w:p>
    <w:p>
      <w:pPr>
        <w:pStyle w:val="2"/>
        <w:widowControl w:val="0"/>
        <w:shd w:val="clear" w:color="auto" w:fill="FFFFFF"/>
        <w:adjustRightInd w:val="0"/>
        <w:snapToGrid w:val="0"/>
        <w:spacing w:before="0" w:beforeLines="0" w:beforeAutospacing="0" w:after="0" w:afterLines="0" w:afterAutospacing="0" w:line="400" w:lineRule="exact"/>
        <w:ind w:right="90"/>
      </w:pPr>
      <w:r>
        <w:rPr>
          <w:rFonts w:hint="eastAsia" w:ascii="仿宋_GB2312" w:hAnsi="仿宋_GB2312" w:eastAsia="仿宋_GB2312" w:cs="仿宋_GB2312"/>
          <w:b/>
          <w:color w:val="000000"/>
          <w:sz w:val="28"/>
          <w:szCs w:val="28"/>
        </w:rPr>
        <w:t>备注：</w:t>
      </w:r>
      <w:r>
        <w:rPr>
          <w:rFonts w:hint="eastAsia" w:ascii="仿宋_GB2312" w:hAnsi="仿宋_GB2312" w:eastAsia="仿宋_GB2312" w:cs="仿宋_GB2312"/>
          <w:color w:val="000000"/>
        </w:rPr>
        <w:t>本告知书一式四份，一份留存企业备查、一份在企业公示栏公示、一份报送属地乡镇(街道、园区)安办备案、一份报送属地县级行业主管部门备案。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SimSun-ExtB"/>
    <w:panose1 w:val="00000000000000000000"/>
    <w:charset w:val="86"/>
    <w:family w:val="auto"/>
    <w:pitch w:val="default"/>
    <w:sig w:usb0="00000000" w:usb1="00000000" w:usb2="00000010" w:usb3="00000000" w:csb0="003C0041" w:csb1="00000000"/>
  </w:font>
  <w:font w:name="楷体">
    <w:panose1 w:val="02010609060101010101"/>
    <w:charset w:val="86"/>
    <w:family w:val="auto"/>
    <w:pitch w:val="default"/>
    <w:sig w:usb0="800002BF" w:usb1="38CF7CFA" w:usb2="00000016" w:usb3="00000000" w:csb0="00040001" w:csb1="00000000"/>
  </w:font>
  <w:font w:name="SimSun-ExtB">
    <w:panose1 w:val="02010609060101010101"/>
    <w:charset w:val="86"/>
    <w:family w:val="auto"/>
    <w:pitch w:val="default"/>
    <w:sig w:usb0="00000001" w:usb1="02000000" w:usb2="00000000" w:usb3="00000000" w:csb0="00040001"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方正黑体简体">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等线">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73592B"/>
    <w:rsid w:val="1673592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仿宋_GB2312"/>
      <w:kern w:val="2"/>
      <w:sz w:val="32"/>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Lines="0" w:beforeAutospacing="1" w:after="100" w:afterLines="0" w:afterAutospacing="1"/>
      <w:ind w:firstLine="0" w:firstLineChars="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2020-10-15T07:24:00Z</dcterms:created>
  <dc:creator>Administrator</dc:creator>
  <cp:lastModifiedBy>Administrator</cp:lastModifiedBy>
  <dcterms:modified xsi:type="dcterms:W3CDTF">2020-10-15T07:25:18Z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