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5410EB">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jc w:val="center"/>
        <w:textAlignment w:val="auto"/>
        <w:rPr>
          <w:rFonts w:hint="eastAsia" w:ascii="方正小标宋简体" w:hAnsi="方正小标宋简体" w:eastAsia="方正小标宋简体" w:cs="方正小标宋简体"/>
          <w:b w:val="0"/>
          <w:bCs/>
          <w:sz w:val="44"/>
          <w:szCs w:val="44"/>
          <w:highlight w:val="none"/>
          <w:lang w:eastAsia="zh-CN"/>
        </w:rPr>
      </w:pPr>
      <w:r>
        <w:rPr>
          <w:rFonts w:hint="eastAsia" w:ascii="方正小标宋简体" w:hAnsi="方正小标宋简体" w:eastAsia="方正小标宋简体" w:cs="方正小标宋简体"/>
          <w:b w:val="0"/>
          <w:bCs/>
          <w:sz w:val="44"/>
          <w:szCs w:val="44"/>
          <w:highlight w:val="none"/>
        </w:rPr>
        <w:t>湄洲湾航道二期</w:t>
      </w:r>
      <w:r>
        <w:rPr>
          <w:rFonts w:hint="eastAsia" w:ascii="方正小标宋简体" w:hAnsi="方正小标宋简体" w:eastAsia="方正小标宋简体" w:cs="方正小标宋简体"/>
          <w:b w:val="0"/>
          <w:bCs/>
          <w:sz w:val="44"/>
          <w:szCs w:val="44"/>
          <w:highlight w:val="none"/>
          <w:lang w:eastAsia="zh-CN"/>
        </w:rPr>
        <w:t>工程</w:t>
      </w:r>
      <w:r>
        <w:rPr>
          <w:rFonts w:hint="eastAsia" w:ascii="方正小标宋简体" w:hAnsi="方正小标宋简体" w:eastAsia="方正小标宋简体" w:cs="方正小标宋简体"/>
          <w:b w:val="0"/>
          <w:bCs/>
          <w:sz w:val="44"/>
          <w:szCs w:val="44"/>
          <w:highlight w:val="none"/>
        </w:rPr>
        <w:t>项目</w:t>
      </w:r>
      <w:r>
        <w:rPr>
          <w:rFonts w:hint="eastAsia" w:ascii="方正小标宋简体" w:hAnsi="方正小标宋简体" w:eastAsia="方正小标宋简体" w:cs="方正小标宋简体"/>
          <w:b w:val="0"/>
          <w:bCs/>
          <w:sz w:val="44"/>
          <w:szCs w:val="44"/>
          <w:highlight w:val="none"/>
          <w:lang w:eastAsia="zh-CN"/>
        </w:rPr>
        <w:t>竣工</w:t>
      </w:r>
      <w:r>
        <w:rPr>
          <w:rFonts w:hint="eastAsia" w:ascii="方正小标宋简体" w:hAnsi="方正小标宋简体" w:eastAsia="方正小标宋简体" w:cs="方正小标宋简体"/>
          <w:b w:val="0"/>
          <w:bCs/>
          <w:sz w:val="44"/>
          <w:szCs w:val="44"/>
          <w:highlight w:val="none"/>
        </w:rPr>
        <w:t>财务</w:t>
      </w:r>
      <w:r>
        <w:rPr>
          <w:rFonts w:hint="eastAsia" w:ascii="方正小标宋简体" w:hAnsi="方正小标宋简体" w:eastAsia="方正小标宋简体" w:cs="方正小标宋简体"/>
          <w:b w:val="0"/>
          <w:bCs/>
          <w:sz w:val="44"/>
          <w:szCs w:val="44"/>
          <w:highlight w:val="none"/>
          <w:lang w:eastAsia="zh-CN"/>
        </w:rPr>
        <w:t>决算</w:t>
      </w:r>
    </w:p>
    <w:p w14:paraId="5CA38148">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jc w:val="center"/>
        <w:textAlignment w:val="auto"/>
        <w:rPr>
          <w:b w:val="0"/>
          <w:bCs/>
          <w:sz w:val="44"/>
          <w:szCs w:val="44"/>
          <w:highlight w:val="none"/>
        </w:rPr>
      </w:pPr>
      <w:r>
        <w:rPr>
          <w:rFonts w:hint="eastAsia" w:ascii="方正小标宋简体" w:hAnsi="方正小标宋简体" w:eastAsia="方正小标宋简体" w:cs="方正小标宋简体"/>
          <w:b w:val="0"/>
          <w:bCs/>
          <w:sz w:val="44"/>
          <w:szCs w:val="44"/>
          <w:highlight w:val="none"/>
        </w:rPr>
        <w:t>审计</w:t>
      </w:r>
      <w:r>
        <w:rPr>
          <w:rFonts w:hint="eastAsia" w:ascii="方正小标宋简体" w:hAnsi="方正小标宋简体" w:eastAsia="方正小标宋简体" w:cs="方正小标宋简体"/>
          <w:b w:val="0"/>
          <w:bCs/>
          <w:sz w:val="44"/>
          <w:szCs w:val="44"/>
          <w:highlight w:val="none"/>
          <w:lang w:eastAsia="zh-CN"/>
        </w:rPr>
        <w:t>服务</w:t>
      </w:r>
      <w:r>
        <w:rPr>
          <w:rFonts w:hint="eastAsia" w:ascii="方正小标宋简体" w:hAnsi="方正小标宋简体" w:eastAsia="方正小标宋简体" w:cs="方正小标宋简体"/>
          <w:b w:val="0"/>
          <w:bCs/>
          <w:sz w:val="44"/>
          <w:szCs w:val="44"/>
          <w:highlight w:val="none"/>
        </w:rPr>
        <w:t>采购</w:t>
      </w:r>
      <w:r>
        <w:rPr>
          <w:rFonts w:hint="eastAsia" w:ascii="方正小标宋简体" w:hAnsi="方正小标宋简体" w:eastAsia="方正小标宋简体" w:cs="方正小标宋简体"/>
          <w:b w:val="0"/>
          <w:bCs/>
          <w:sz w:val="44"/>
          <w:szCs w:val="44"/>
          <w:highlight w:val="none"/>
          <w:lang w:eastAsia="zh-CN"/>
        </w:rPr>
        <w:t>比选公告</w:t>
      </w:r>
    </w:p>
    <w:p w14:paraId="78650E49">
      <w:pPr>
        <w:keepNext w:val="0"/>
        <w:keepLines w:val="0"/>
        <w:pageBreakBefore w:val="0"/>
        <w:widowControl w:val="0"/>
        <w:shd w:val="clear"/>
        <w:kinsoku/>
        <w:wordWrap/>
        <w:overflowPunct/>
        <w:topLinePunct w:val="0"/>
        <w:autoSpaceDE/>
        <w:autoSpaceDN/>
        <w:bidi w:val="0"/>
        <w:adjustRightInd/>
        <w:snapToGrid w:val="0"/>
        <w:spacing w:beforeAutospacing="0" w:afterAutospacing="0" w:line="560" w:lineRule="exact"/>
        <w:ind w:right="0" w:rightChars="0"/>
        <w:jc w:val="both"/>
        <w:textAlignment w:val="auto"/>
        <w:outlineLvl w:val="9"/>
        <w:rPr>
          <w:rFonts w:hint="eastAsia" w:ascii="仿宋" w:hAnsi="仿宋" w:eastAsia="仿宋" w:cs="仿宋"/>
          <w:sz w:val="44"/>
          <w:szCs w:val="44"/>
          <w:highlight w:val="none"/>
        </w:rPr>
      </w:pPr>
    </w:p>
    <w:p w14:paraId="0DDC98ED">
      <w:pPr>
        <w:keepNext w:val="0"/>
        <w:keepLines w:val="0"/>
        <w:pageBreakBefore w:val="0"/>
        <w:widowControl w:val="0"/>
        <w:shd w:val="clear"/>
        <w:kinsoku/>
        <w:wordWrap/>
        <w:overflowPunct/>
        <w:topLinePunct w:val="0"/>
        <w:autoSpaceDE/>
        <w:autoSpaceDN/>
        <w:bidi w:val="0"/>
        <w:adjustRightInd/>
        <w:snapToGrid w:val="0"/>
        <w:spacing w:beforeAutospacing="0" w:afterAutospacing="0" w:line="560" w:lineRule="exact"/>
        <w:ind w:right="0" w:rightChars="0" w:firstLine="640" w:firstLineChars="200"/>
        <w:jc w:val="both"/>
        <w:textAlignment w:val="auto"/>
        <w:outlineLvl w:val="9"/>
        <w:rPr>
          <w:rFonts w:hint="eastAsia" w:ascii="仿宋_GB2312" w:hAnsi="宋体" w:eastAsia="仿宋_GB2312" w:cs="宋体"/>
          <w:b w:val="0"/>
          <w:bCs w:val="0"/>
          <w:color w:val="000000"/>
          <w:kern w:val="0"/>
          <w:sz w:val="32"/>
          <w:szCs w:val="32"/>
          <w:highlight w:val="none"/>
          <w:lang w:val="en-US" w:eastAsia="zh-CN"/>
        </w:rPr>
      </w:pPr>
      <w:r>
        <w:rPr>
          <w:rFonts w:hint="eastAsia" w:ascii="仿宋_GB2312" w:hAnsi="宋体" w:eastAsia="仿宋_GB2312" w:cs="宋体"/>
          <w:b w:val="0"/>
          <w:bCs w:val="0"/>
          <w:color w:val="000000"/>
          <w:kern w:val="0"/>
          <w:sz w:val="32"/>
          <w:szCs w:val="32"/>
          <w:highlight w:val="none"/>
          <w:lang w:val="en-US" w:eastAsia="zh-CN"/>
        </w:rPr>
        <w:t>湄洲湾航道二期工程包括：扩建湄洲湾25万吨级航道、新建东吴10万吨级航道、新建莆头5万吨级航道、开辟施工期临时航道。本项目预计工程实际总投资约2.6亿元。现已完成项目环保、档案等专项验收和工程结算审核，计划开展本项目竣工验收，近期拟实施本项目竣工财务决算审计服务采购，现公开邀请有能力的单位参加比选。</w:t>
      </w:r>
    </w:p>
    <w:p w14:paraId="73F2373F">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黑体" w:hAnsi="黑体" w:eastAsia="黑体" w:cs="黑体"/>
          <w:highlight w:val="none"/>
        </w:rPr>
      </w:pPr>
      <w:r>
        <w:rPr>
          <w:rFonts w:hint="eastAsia" w:ascii="黑体" w:hAnsi="黑体" w:eastAsia="黑体" w:cs="黑体"/>
          <w:b/>
          <w:color w:val="auto"/>
          <w:sz w:val="31"/>
          <w:szCs w:val="31"/>
          <w:highlight w:val="none"/>
          <w:lang w:eastAsia="zh-CN"/>
        </w:rPr>
        <w:t>一、</w:t>
      </w:r>
      <w:r>
        <w:rPr>
          <w:rFonts w:hint="eastAsia" w:ascii="黑体" w:hAnsi="黑体" w:eastAsia="黑体" w:cs="黑体"/>
          <w:b/>
          <w:color w:val="auto"/>
          <w:kern w:val="2"/>
          <w:sz w:val="31"/>
          <w:szCs w:val="31"/>
          <w:highlight w:val="none"/>
          <w:lang w:val="en-US" w:eastAsia="zh-CN" w:bidi="ar-SA"/>
        </w:rPr>
        <w:t>比选方式</w:t>
      </w:r>
    </w:p>
    <w:p w14:paraId="07FC1213">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仿宋_GB2312" w:hAnsi="仿宋_GB2312" w:eastAsia="仿宋_GB2312" w:cs="Times New Roman"/>
          <w:color w:val="auto"/>
          <w:kern w:val="2"/>
          <w:sz w:val="31"/>
          <w:szCs w:val="31"/>
          <w:highlight w:val="none"/>
          <w:lang w:val="en-US" w:eastAsia="zh-CN" w:bidi="ar-SA"/>
        </w:rPr>
      </w:pPr>
      <w:r>
        <w:rPr>
          <w:rFonts w:hint="eastAsia" w:ascii="仿宋_GB2312" w:hAnsi="仿宋_GB2312" w:eastAsia="仿宋_GB2312" w:cs="Times New Roman"/>
          <w:color w:val="auto"/>
          <w:kern w:val="2"/>
          <w:sz w:val="31"/>
          <w:szCs w:val="31"/>
          <w:highlight w:val="none"/>
          <w:lang w:val="en-US" w:eastAsia="zh-CN" w:bidi="ar-SA"/>
        </w:rPr>
        <w:t>采购人在符合要求的参选人(要求不少于三家)的参选件中比选，以最低参选总报价确定本项目中选人，采购人发出中选通知，签订采购合同。</w:t>
      </w:r>
    </w:p>
    <w:p w14:paraId="21B2B6EA">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黑体" w:hAnsi="黑体" w:eastAsia="黑体" w:cs="黑体"/>
          <w:b/>
          <w:color w:val="auto"/>
          <w:sz w:val="31"/>
          <w:szCs w:val="31"/>
          <w:highlight w:val="none"/>
          <w:lang w:eastAsia="zh-CN"/>
        </w:rPr>
      </w:pPr>
      <w:r>
        <w:rPr>
          <w:rFonts w:hint="eastAsia" w:ascii="黑体" w:hAnsi="黑体" w:eastAsia="黑体" w:cs="黑体"/>
          <w:b/>
          <w:color w:val="auto"/>
          <w:sz w:val="31"/>
          <w:szCs w:val="31"/>
          <w:highlight w:val="none"/>
          <w:lang w:eastAsia="zh-CN"/>
        </w:rPr>
        <w:t>二、验收方式</w:t>
      </w:r>
    </w:p>
    <w:p w14:paraId="7D4EB5CF">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仿宋_GB2312" w:hAnsi="仿宋_GB2312" w:eastAsia="仿宋_GB2312" w:cs="Times New Roman"/>
          <w:color w:val="auto"/>
          <w:kern w:val="2"/>
          <w:sz w:val="31"/>
          <w:szCs w:val="31"/>
          <w:highlight w:val="none"/>
          <w:lang w:val="en-US" w:eastAsia="zh-CN" w:bidi="ar-SA"/>
        </w:rPr>
      </w:pPr>
      <w:r>
        <w:rPr>
          <w:rFonts w:hint="eastAsia" w:ascii="仿宋_GB2312" w:hAnsi="仿宋_GB2312" w:eastAsia="仿宋_GB2312" w:cs="Times New Roman"/>
          <w:color w:val="auto"/>
          <w:kern w:val="2"/>
          <w:sz w:val="31"/>
          <w:szCs w:val="31"/>
          <w:highlight w:val="none"/>
          <w:lang w:val="en-US" w:eastAsia="zh-CN" w:bidi="ar-SA"/>
        </w:rPr>
        <w:t>采购人和中选人按照比选公告、中选人参选件和采购合同要求等进行验收。经双方现场交付、验收合格后，签署《采购验收单》。</w:t>
      </w:r>
    </w:p>
    <w:p w14:paraId="31DD97A3">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黑体" w:hAnsi="黑体" w:eastAsia="黑体" w:cs="黑体"/>
          <w:b/>
          <w:color w:val="auto"/>
          <w:sz w:val="31"/>
          <w:szCs w:val="31"/>
          <w:highlight w:val="none"/>
          <w:lang w:eastAsia="zh-CN"/>
        </w:rPr>
      </w:pPr>
      <w:r>
        <w:rPr>
          <w:rFonts w:hint="eastAsia" w:ascii="黑体" w:hAnsi="黑体" w:eastAsia="黑体" w:cs="黑体"/>
          <w:b/>
          <w:color w:val="auto"/>
          <w:sz w:val="31"/>
          <w:szCs w:val="31"/>
          <w:highlight w:val="none"/>
          <w:lang w:eastAsia="zh-CN"/>
        </w:rPr>
        <w:t>三、费用及支付</w:t>
      </w:r>
    </w:p>
    <w:p w14:paraId="7AE33E4C">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仿宋_GB2312" w:hAnsi="仿宋_GB2312" w:eastAsia="仿宋_GB2312" w:cs="Times New Roman"/>
          <w:color w:val="auto"/>
          <w:kern w:val="2"/>
          <w:sz w:val="31"/>
          <w:szCs w:val="31"/>
          <w:highlight w:val="none"/>
          <w:lang w:val="en-US" w:eastAsia="zh-CN" w:bidi="ar-SA"/>
        </w:rPr>
      </w:pPr>
      <w:r>
        <w:rPr>
          <w:rFonts w:hint="eastAsia" w:ascii="仿宋_GB2312" w:hAnsi="仿宋_GB2312" w:eastAsia="仿宋_GB2312" w:cs="Times New Roman"/>
          <w:color w:val="auto"/>
          <w:kern w:val="2"/>
          <w:sz w:val="31"/>
          <w:szCs w:val="31"/>
          <w:highlight w:val="none"/>
          <w:lang w:val="en-US" w:eastAsia="zh-CN" w:bidi="ar-SA"/>
        </w:rPr>
        <w:t>1.以中选总报价为采购合同总价，费用包括但不限于：</w:t>
      </w:r>
      <w:r>
        <w:rPr>
          <w:rFonts w:hint="eastAsia" w:ascii="仿宋_GB2312" w:hAnsi="宋体" w:eastAsia="仿宋_GB2312" w:cs="宋体"/>
          <w:b w:val="0"/>
          <w:bCs w:val="0"/>
          <w:color w:val="000000"/>
          <w:kern w:val="0"/>
          <w:sz w:val="32"/>
          <w:szCs w:val="32"/>
          <w:highlight w:val="none"/>
          <w:lang w:val="en-US" w:eastAsia="zh-CN"/>
        </w:rPr>
        <w:t>审计报告编制费、人员差旅费、税金、软件使用费、打印文稿费用、保险等</w:t>
      </w:r>
      <w:r>
        <w:rPr>
          <w:rFonts w:hint="eastAsia" w:ascii="仿宋_GB2312" w:hAnsi="仿宋_GB2312" w:eastAsia="仿宋_GB2312" w:cs="Times New Roman"/>
          <w:color w:val="auto"/>
          <w:kern w:val="2"/>
          <w:sz w:val="31"/>
          <w:szCs w:val="31"/>
          <w:highlight w:val="none"/>
          <w:lang w:val="en-US" w:eastAsia="zh-CN" w:bidi="ar-SA"/>
        </w:rPr>
        <w:t>中选人履行合同义务可能发生的一切费用，采购人不再支付其他费用。</w:t>
      </w:r>
    </w:p>
    <w:p w14:paraId="0F5D778D">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仿宋_GB2312" w:hAnsi="仿宋_GB2312" w:eastAsia="仿宋_GB2312" w:cs="Times New Roman"/>
          <w:color w:val="auto"/>
          <w:kern w:val="2"/>
          <w:sz w:val="31"/>
          <w:szCs w:val="31"/>
          <w:highlight w:val="none"/>
          <w:lang w:val="en-US" w:eastAsia="zh-CN" w:bidi="ar-SA"/>
        </w:rPr>
      </w:pPr>
      <w:r>
        <w:rPr>
          <w:rFonts w:hint="eastAsia" w:ascii="仿宋_GB2312" w:hAnsi="仿宋_GB2312" w:eastAsia="仿宋_GB2312" w:cs="Times New Roman"/>
          <w:color w:val="auto"/>
          <w:kern w:val="2"/>
          <w:sz w:val="31"/>
          <w:szCs w:val="31"/>
          <w:highlight w:val="none"/>
          <w:lang w:val="en-US" w:eastAsia="zh-CN" w:bidi="ar-SA"/>
        </w:rPr>
        <w:t>2.分二期支付。</w:t>
      </w:r>
      <w:r>
        <w:rPr>
          <w:rFonts w:hint="eastAsia" w:ascii="仿宋_GB2312" w:hAnsi="仿宋_GB2312" w:eastAsia="仿宋_GB2312" w:cs="Times New Roman"/>
          <w:b/>
          <w:bCs/>
          <w:color w:val="auto"/>
          <w:kern w:val="2"/>
          <w:sz w:val="31"/>
          <w:szCs w:val="31"/>
          <w:highlight w:val="none"/>
          <w:lang w:val="en-US" w:eastAsia="zh-CN" w:bidi="ar-SA"/>
        </w:rPr>
        <w:t>第一期：</w:t>
      </w:r>
      <w:r>
        <w:rPr>
          <w:rFonts w:hint="eastAsia" w:ascii="仿宋_GB2312" w:hAnsi="仿宋_GB2312" w:eastAsia="仿宋_GB2312" w:cs="Times New Roman"/>
          <w:color w:val="auto"/>
          <w:kern w:val="2"/>
          <w:sz w:val="31"/>
          <w:szCs w:val="31"/>
          <w:highlight w:val="none"/>
          <w:lang w:val="en-US" w:eastAsia="zh-CN" w:bidi="ar-SA"/>
        </w:rPr>
        <w:t>中选人指导项目竣工财务决算表编制并出具符合采购人要求的项目竣工财务决算审计报告，且本项目通过竣工验收后，采购人根据中选人提供的有效增值税专用发票后15个工作日内支付合同额的80%。</w:t>
      </w:r>
      <w:r>
        <w:rPr>
          <w:rFonts w:hint="eastAsia" w:ascii="仿宋_GB2312" w:hAnsi="仿宋_GB2312" w:eastAsia="仿宋_GB2312" w:cs="Times New Roman"/>
          <w:b/>
          <w:bCs/>
          <w:color w:val="auto"/>
          <w:kern w:val="2"/>
          <w:sz w:val="31"/>
          <w:szCs w:val="31"/>
          <w:highlight w:val="none"/>
          <w:lang w:val="en-US" w:eastAsia="zh-CN" w:bidi="ar-SA"/>
        </w:rPr>
        <w:t>第二期：</w:t>
      </w:r>
      <w:r>
        <w:rPr>
          <w:rFonts w:hint="eastAsia" w:ascii="仿宋_GB2312" w:hAnsi="仿宋_GB2312" w:eastAsia="仿宋_GB2312" w:cs="Times New Roman"/>
          <w:color w:val="auto"/>
          <w:kern w:val="2"/>
          <w:sz w:val="31"/>
          <w:szCs w:val="31"/>
          <w:highlight w:val="none"/>
          <w:lang w:val="en-US" w:eastAsia="zh-CN" w:bidi="ar-SA"/>
        </w:rPr>
        <w:t>中选人</w:t>
      </w:r>
      <w:r>
        <w:rPr>
          <w:rFonts w:hint="eastAsia" w:ascii="仿宋_GB2312" w:hAnsi="宋体" w:eastAsia="仿宋_GB2312" w:cs="宋体"/>
          <w:b w:val="0"/>
          <w:bCs w:val="0"/>
          <w:color w:val="000000"/>
          <w:kern w:val="0"/>
          <w:sz w:val="32"/>
          <w:szCs w:val="32"/>
          <w:highlight w:val="none"/>
          <w:lang w:val="en-US" w:eastAsia="zh-CN" w:bidi="ar-SA"/>
        </w:rPr>
        <w:t>协助采购人完成项目竣工验收及财务决算的报批，本项目获得福建省交通运输厅竣工财务决算批复后，</w:t>
      </w:r>
      <w:r>
        <w:rPr>
          <w:rFonts w:hint="eastAsia" w:ascii="仿宋_GB2312" w:hAnsi="仿宋_GB2312" w:eastAsia="仿宋_GB2312" w:cs="Times New Roman"/>
          <w:color w:val="auto"/>
          <w:kern w:val="2"/>
          <w:sz w:val="31"/>
          <w:szCs w:val="31"/>
          <w:highlight w:val="none"/>
          <w:lang w:val="en-US" w:eastAsia="zh-CN" w:bidi="ar-SA"/>
        </w:rPr>
        <w:t>采购人根据中选人提供的有效增值税专用发票后15个工作日内支付合同额的20%。中选人未及时提供发票的，采购人有权顺延付款。</w:t>
      </w:r>
    </w:p>
    <w:p w14:paraId="4BACC494">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黑体" w:hAnsi="黑体" w:eastAsia="黑体" w:cs="黑体"/>
          <w:b/>
          <w:color w:val="auto"/>
          <w:sz w:val="31"/>
          <w:szCs w:val="31"/>
          <w:highlight w:val="none"/>
          <w:lang w:eastAsia="zh-CN"/>
        </w:rPr>
      </w:pPr>
      <w:r>
        <w:rPr>
          <w:rFonts w:hint="eastAsia" w:ascii="黑体" w:hAnsi="黑体" w:eastAsia="黑体" w:cs="黑体"/>
          <w:b/>
          <w:color w:val="auto"/>
          <w:sz w:val="31"/>
          <w:szCs w:val="31"/>
          <w:highlight w:val="none"/>
          <w:lang w:eastAsia="zh-CN"/>
        </w:rPr>
        <w:t>四、采购内容及要求</w:t>
      </w:r>
    </w:p>
    <w:p w14:paraId="617CEE8F">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楷体" w:hAnsi="楷体" w:eastAsia="楷体" w:cs="楷体"/>
          <w:b/>
          <w:bCs/>
          <w:color w:val="000000"/>
          <w:kern w:val="0"/>
          <w:sz w:val="32"/>
          <w:szCs w:val="32"/>
          <w:highlight w:val="none"/>
          <w:lang w:val="en-US" w:eastAsia="zh-CN" w:bidi="ar-SA"/>
        </w:rPr>
      </w:pPr>
      <w:r>
        <w:rPr>
          <w:rFonts w:hint="eastAsia" w:ascii="楷体" w:hAnsi="楷体" w:eastAsia="楷体" w:cs="楷体"/>
          <w:b/>
          <w:bCs/>
          <w:color w:val="000000"/>
          <w:kern w:val="0"/>
          <w:sz w:val="32"/>
          <w:szCs w:val="32"/>
          <w:highlight w:val="none"/>
          <w:lang w:val="en-US" w:eastAsia="zh-CN" w:bidi="ar-SA"/>
        </w:rPr>
        <w:t>（一）采购工作内容及要求</w:t>
      </w:r>
    </w:p>
    <w:p w14:paraId="4AE58135">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按照国家相关规定，</w:t>
      </w:r>
      <w:r>
        <w:rPr>
          <w:rFonts w:hint="eastAsia" w:ascii="仿宋_GB2312" w:hAnsi="仿宋_GB2312" w:eastAsia="仿宋_GB2312" w:cs="Times New Roman"/>
          <w:color w:val="auto"/>
          <w:kern w:val="2"/>
          <w:sz w:val="31"/>
          <w:szCs w:val="31"/>
          <w:highlight w:val="none"/>
          <w:lang w:val="en-US" w:eastAsia="zh-CN" w:bidi="ar-SA"/>
        </w:rPr>
        <w:t>中选人应严格指导</w:t>
      </w:r>
      <w:r>
        <w:rPr>
          <w:rFonts w:hint="eastAsia" w:ascii="仿宋_GB2312" w:hAnsi="宋体" w:eastAsia="仿宋_GB2312" w:cs="宋体"/>
          <w:b w:val="0"/>
          <w:bCs w:val="0"/>
          <w:color w:val="000000"/>
          <w:kern w:val="0"/>
          <w:sz w:val="32"/>
          <w:szCs w:val="32"/>
          <w:highlight w:val="none"/>
          <w:lang w:val="en-US" w:eastAsia="zh-CN" w:bidi="ar-SA"/>
        </w:rPr>
        <w:t>湄洲湾航道二期工程项目</w:t>
      </w:r>
      <w:r>
        <w:rPr>
          <w:rFonts w:hint="eastAsia" w:ascii="仿宋_GB2312" w:hAnsi="仿宋_GB2312" w:eastAsia="仿宋_GB2312" w:cs="Times New Roman"/>
          <w:color w:val="auto"/>
          <w:kern w:val="2"/>
          <w:sz w:val="31"/>
          <w:szCs w:val="31"/>
          <w:highlight w:val="none"/>
          <w:lang w:val="en-US" w:eastAsia="zh-CN" w:bidi="ar-SA"/>
        </w:rPr>
        <w:t>竣工财务决算表编制并按照采购人要求出具项目竣工财务决算审计报告，</w:t>
      </w:r>
      <w:r>
        <w:rPr>
          <w:rFonts w:hint="eastAsia" w:ascii="仿宋_GB2312" w:hAnsi="宋体" w:eastAsia="仿宋_GB2312" w:cs="宋体"/>
          <w:b w:val="0"/>
          <w:bCs w:val="0"/>
          <w:color w:val="000000"/>
          <w:kern w:val="0"/>
          <w:sz w:val="32"/>
          <w:szCs w:val="32"/>
          <w:highlight w:val="none"/>
          <w:lang w:val="en-US" w:eastAsia="zh-CN" w:bidi="ar-SA"/>
        </w:rPr>
        <w:t>确保出具的审计报告满足项目竣工验收要求。具体工作内容，包括但不限于：</w:t>
      </w:r>
    </w:p>
    <w:p w14:paraId="6D2F18D9">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auto"/>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1.结合采购人实际情况，编制项目竣工财务决算实施计划及实施方</w:t>
      </w:r>
      <w:r>
        <w:rPr>
          <w:rFonts w:hint="eastAsia" w:ascii="仿宋_GB2312" w:hAnsi="宋体" w:eastAsia="仿宋_GB2312" w:cs="宋体"/>
          <w:b w:val="0"/>
          <w:bCs w:val="0"/>
          <w:color w:val="auto"/>
          <w:kern w:val="0"/>
          <w:sz w:val="32"/>
          <w:szCs w:val="32"/>
          <w:highlight w:val="none"/>
          <w:lang w:val="en-US" w:eastAsia="zh-CN" w:bidi="ar-SA"/>
        </w:rPr>
        <w:t>案；按照采购人要求提出实物资产移交及处置建议。</w:t>
      </w:r>
    </w:p>
    <w:p w14:paraId="57852C50">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auto"/>
          <w:kern w:val="0"/>
          <w:sz w:val="32"/>
          <w:szCs w:val="32"/>
          <w:highlight w:val="none"/>
          <w:lang w:val="en-US" w:eastAsia="zh-CN" w:bidi="ar-SA"/>
        </w:rPr>
      </w:pPr>
      <w:r>
        <w:rPr>
          <w:rFonts w:hint="eastAsia" w:ascii="仿宋_GB2312" w:hAnsi="宋体" w:eastAsia="仿宋_GB2312" w:cs="宋体"/>
          <w:b w:val="0"/>
          <w:bCs w:val="0"/>
          <w:color w:val="auto"/>
          <w:kern w:val="0"/>
          <w:sz w:val="32"/>
          <w:szCs w:val="32"/>
          <w:highlight w:val="none"/>
          <w:lang w:val="en-US" w:eastAsia="zh-CN" w:bidi="ar-SA"/>
        </w:rPr>
        <w:t>2.竣工决算资料收集。对已归集的项目立项、合同、概算、招投标文件、中标通知书、纪要、结算报告等资料，协助采购人进一步梳理和归类完善相关资料和程序。</w:t>
      </w:r>
    </w:p>
    <w:p w14:paraId="64844DB0">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auto"/>
          <w:kern w:val="0"/>
          <w:sz w:val="32"/>
          <w:szCs w:val="32"/>
          <w:highlight w:val="none"/>
          <w:lang w:val="en-US" w:eastAsia="zh-CN" w:bidi="ar-SA"/>
        </w:rPr>
      </w:pPr>
      <w:r>
        <w:rPr>
          <w:rFonts w:hint="eastAsia" w:ascii="仿宋_GB2312" w:hAnsi="宋体" w:eastAsia="仿宋_GB2312" w:cs="宋体"/>
          <w:b w:val="0"/>
          <w:bCs w:val="0"/>
          <w:color w:val="auto"/>
          <w:kern w:val="0"/>
          <w:sz w:val="32"/>
          <w:szCs w:val="32"/>
          <w:highlight w:val="none"/>
          <w:lang w:val="en-US" w:eastAsia="zh-CN" w:bidi="ar-SA"/>
        </w:rPr>
        <w:t>3.资产清理（若项目涉及资产），配合采购人做好项目资产的清点、核对工作，对交付使用资产明细表编制工作进行指导和完善，根据采购人提供的资产清单做好归类和汇总，并做好费用的分摊和清单格式的调整，形成项目交付使用资产清单。</w:t>
      </w:r>
    </w:p>
    <w:p w14:paraId="04A4B3A4">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4.厘清项目概算、项目概算单元与合同及合同内容的统辖对应关系，统计合同额、已支付金额及结算金额。本项目部分合同费用包含湄洲岛车渡、客运航道工程项目，应一并厘清并</w:t>
      </w:r>
      <w:r>
        <w:rPr>
          <w:rFonts w:hint="eastAsia" w:ascii="仿宋_GB2312" w:hAnsi="宋体" w:eastAsia="仿宋_GB2312" w:cs="宋体"/>
          <w:b w:val="0"/>
          <w:bCs w:val="0"/>
          <w:color w:val="auto"/>
          <w:kern w:val="0"/>
          <w:sz w:val="32"/>
          <w:szCs w:val="32"/>
          <w:highlight w:val="none"/>
          <w:lang w:val="en-US" w:eastAsia="zh-CN" w:bidi="ar-SA"/>
        </w:rPr>
        <w:t>提出合同金额划分建议，在审计报告中明确。</w:t>
      </w:r>
    </w:p>
    <w:p w14:paraId="5D072693">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5.完成账面投资清理、非合同前期费用清理，往来账务清理、税务清理等工作，做好待摊投资分摊，尾工投资确定等工作。</w:t>
      </w:r>
    </w:p>
    <w:p w14:paraId="6AC13EEE">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6.梳理和核查项目资金到位和使用情况,对项目竣工财务决算表编制进行指导和完善，提供竣工财务决算说明书及竣工财务决算审核报告资料。</w:t>
      </w:r>
    </w:p>
    <w:p w14:paraId="7DB0B145">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7.协助采购人完成项目竣工验收及财务决算的报批。</w:t>
      </w:r>
    </w:p>
    <w:p w14:paraId="6EDE0388">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8.</w:t>
      </w:r>
      <w:r>
        <w:rPr>
          <w:rFonts w:hint="eastAsia" w:ascii="仿宋_GB2312" w:hAnsi="仿宋_GB2312" w:eastAsia="仿宋_GB2312" w:cs="Times New Roman"/>
          <w:color w:val="auto"/>
          <w:kern w:val="2"/>
          <w:sz w:val="31"/>
          <w:szCs w:val="31"/>
          <w:highlight w:val="none"/>
          <w:lang w:val="en-US" w:eastAsia="zh-CN" w:bidi="ar-SA"/>
        </w:rPr>
        <w:t>按照采购人要求出具项目竣工财务决算审计报告并</w:t>
      </w:r>
      <w:r>
        <w:rPr>
          <w:rFonts w:hint="eastAsia" w:ascii="仿宋_GB2312" w:hAnsi="宋体" w:eastAsia="仿宋_GB2312" w:cs="宋体"/>
          <w:b w:val="0"/>
          <w:bCs w:val="0"/>
          <w:color w:val="000000"/>
          <w:kern w:val="0"/>
          <w:sz w:val="32"/>
          <w:szCs w:val="32"/>
          <w:highlight w:val="none"/>
          <w:lang w:val="en-US" w:eastAsia="zh-CN" w:bidi="ar-SA"/>
        </w:rPr>
        <w:t>完成其他与财务决算有关的事项，总结本项目决算工作经验，对竣工财务决算工作给予指导意见和完善措施，包括程序、资料和规范等方面。</w:t>
      </w:r>
    </w:p>
    <w:p w14:paraId="50A31FA9">
      <w:pPr>
        <w:keepNext w:val="0"/>
        <w:keepLines w:val="0"/>
        <w:pageBreakBefore w:val="0"/>
        <w:shd w:val="clear"/>
        <w:kinsoku/>
        <w:wordWrap/>
        <w:overflowPunct/>
        <w:topLinePunct w:val="0"/>
        <w:autoSpaceDE/>
        <w:autoSpaceDN/>
        <w:bidi w:val="0"/>
        <w:adjustRightInd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9.中选人服务进度应满足采购人要求，本项目竣工财务决算审计报告编制的工作期限为采购人发出实施指令之日起60日（日历天）。</w:t>
      </w:r>
    </w:p>
    <w:p w14:paraId="5080189A">
      <w:pPr>
        <w:pStyle w:val="7"/>
        <w:keepNext w:val="0"/>
        <w:keepLines w:val="0"/>
        <w:pageBreakBefore w:val="0"/>
        <w:shd w:val="clear"/>
        <w:kinsoku/>
        <w:wordWrap/>
        <w:overflowPunct/>
        <w:topLinePunct w:val="0"/>
        <w:autoSpaceDE/>
        <w:autoSpaceDN/>
        <w:bidi w:val="0"/>
        <w:adjustRightInd/>
        <w:snapToGrid w:val="0"/>
        <w:spacing w:beforeAutospacing="0" w:afterAutospacing="0" w:line="560" w:lineRule="exact"/>
        <w:ind w:left="0" w:leftChars="0" w:firstLine="700" w:firstLineChars="0"/>
        <w:textAlignment w:val="auto"/>
        <w:rPr>
          <w:rFonts w:hint="eastAsia" w:ascii="楷体" w:hAnsi="楷体" w:eastAsia="楷体" w:cs="楷体"/>
          <w:b/>
          <w:bCs/>
          <w:color w:val="000000"/>
          <w:kern w:val="0"/>
          <w:sz w:val="32"/>
          <w:szCs w:val="32"/>
          <w:highlight w:val="none"/>
          <w:lang w:val="en-US" w:eastAsia="zh-CN" w:bidi="ar-SA"/>
        </w:rPr>
      </w:pPr>
      <w:r>
        <w:rPr>
          <w:rFonts w:hint="eastAsia" w:ascii="楷体" w:hAnsi="楷体" w:eastAsia="楷体" w:cs="楷体"/>
          <w:b/>
          <w:bCs/>
          <w:color w:val="000000"/>
          <w:kern w:val="0"/>
          <w:sz w:val="32"/>
          <w:szCs w:val="32"/>
          <w:highlight w:val="none"/>
          <w:lang w:val="en-US" w:eastAsia="zh-CN" w:bidi="ar-SA"/>
        </w:rPr>
        <w:t>（二）单位资质要求</w:t>
      </w:r>
    </w:p>
    <w:p w14:paraId="6EB338EC">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560" w:lineRule="exact"/>
        <w:ind w:left="0" w:leftChars="0" w:right="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1.有效的营业执照（具备相关经营范围）。</w:t>
      </w:r>
    </w:p>
    <w:p w14:paraId="16475D65">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560" w:lineRule="exact"/>
        <w:ind w:left="0" w:leftChars="0" w:right="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2.</w:t>
      </w:r>
      <w:r>
        <w:rPr>
          <w:rFonts w:hint="eastAsia" w:ascii="仿宋_GB2312" w:eastAsia="仿宋_GB2312" w:cs="宋体"/>
          <w:b w:val="0"/>
          <w:bCs w:val="0"/>
          <w:color w:val="000000"/>
          <w:kern w:val="0"/>
          <w:sz w:val="32"/>
          <w:szCs w:val="32"/>
          <w:highlight w:val="none"/>
          <w:lang w:val="en-US" w:eastAsia="zh-CN" w:bidi="ar-SA"/>
        </w:rPr>
        <w:t>参选人</w:t>
      </w:r>
      <w:r>
        <w:rPr>
          <w:rFonts w:hint="eastAsia" w:ascii="仿宋_GB2312" w:hAnsi="宋体" w:eastAsia="仿宋_GB2312" w:cs="宋体"/>
          <w:b w:val="0"/>
          <w:bCs w:val="0"/>
          <w:color w:val="000000"/>
          <w:kern w:val="0"/>
          <w:sz w:val="32"/>
          <w:szCs w:val="32"/>
          <w:highlight w:val="none"/>
          <w:lang w:val="en-US" w:eastAsia="zh-CN" w:bidi="ar-SA"/>
        </w:rPr>
        <w:t>具有有效的财政部门颁发的会计师事务所执业证书。</w:t>
      </w:r>
    </w:p>
    <w:p w14:paraId="225F3472">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560" w:lineRule="exact"/>
        <w:ind w:left="0" w:leftChars="0" w:right="0" w:firstLine="700" w:firstLineChars="0"/>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仿宋_GB2312" w:hAnsi="宋体" w:eastAsia="仿宋_GB2312" w:cs="宋体"/>
          <w:b w:val="0"/>
          <w:bCs w:val="0"/>
          <w:color w:val="000000"/>
          <w:kern w:val="0"/>
          <w:sz w:val="32"/>
          <w:szCs w:val="32"/>
          <w:highlight w:val="none"/>
          <w:lang w:val="en-US" w:eastAsia="zh-CN" w:bidi="ar-SA"/>
        </w:rPr>
        <w:t>3.</w:t>
      </w:r>
      <w:r>
        <w:rPr>
          <w:rFonts w:hint="eastAsia" w:ascii="仿宋_GB2312" w:eastAsia="仿宋_GB2312" w:cs="宋体"/>
          <w:b w:val="0"/>
          <w:bCs w:val="0"/>
          <w:color w:val="000000"/>
          <w:kern w:val="0"/>
          <w:sz w:val="32"/>
          <w:szCs w:val="32"/>
          <w:highlight w:val="none"/>
          <w:lang w:val="en-US" w:eastAsia="zh-CN" w:bidi="ar-SA"/>
        </w:rPr>
        <w:t>参选人</w:t>
      </w:r>
      <w:r>
        <w:rPr>
          <w:rFonts w:hint="eastAsia" w:ascii="仿宋_GB2312" w:hAnsi="宋体" w:eastAsia="仿宋_GB2312" w:cs="宋体"/>
          <w:b w:val="0"/>
          <w:bCs w:val="0"/>
          <w:color w:val="000000"/>
          <w:kern w:val="0"/>
          <w:sz w:val="32"/>
          <w:szCs w:val="32"/>
          <w:highlight w:val="none"/>
          <w:lang w:val="en-US" w:eastAsia="zh-CN" w:bidi="ar-SA"/>
        </w:rPr>
        <w:t>为中小企业。</w:t>
      </w:r>
    </w:p>
    <w:p w14:paraId="7301A055">
      <w:pPr>
        <w:pStyle w:val="7"/>
        <w:keepNext w:val="0"/>
        <w:keepLines w:val="0"/>
        <w:pageBreakBefore w:val="0"/>
        <w:shd w:val="clear"/>
        <w:kinsoku/>
        <w:wordWrap/>
        <w:overflowPunct/>
        <w:topLinePunct w:val="0"/>
        <w:autoSpaceDE/>
        <w:autoSpaceDN/>
        <w:bidi w:val="0"/>
        <w:adjustRightInd/>
        <w:snapToGrid w:val="0"/>
        <w:spacing w:beforeAutospacing="0" w:afterAutospacing="0" w:line="560" w:lineRule="exact"/>
        <w:ind w:left="0" w:leftChars="0" w:firstLine="700" w:firstLineChars="0"/>
        <w:textAlignment w:val="auto"/>
        <w:rPr>
          <w:rFonts w:hint="eastAsia" w:ascii="楷体" w:hAnsi="楷体" w:eastAsia="楷体" w:cs="楷体"/>
          <w:b/>
          <w:bCs/>
          <w:color w:val="000000"/>
          <w:kern w:val="0"/>
          <w:sz w:val="32"/>
          <w:szCs w:val="32"/>
          <w:highlight w:val="none"/>
          <w:lang w:val="en-US" w:eastAsia="zh-CN" w:bidi="ar-SA"/>
        </w:rPr>
      </w:pPr>
      <w:r>
        <w:rPr>
          <w:rFonts w:hint="eastAsia" w:ascii="楷体" w:hAnsi="楷体" w:eastAsia="楷体" w:cs="楷体"/>
          <w:b/>
          <w:bCs/>
          <w:color w:val="000000"/>
          <w:kern w:val="0"/>
          <w:sz w:val="32"/>
          <w:szCs w:val="32"/>
          <w:highlight w:val="none"/>
          <w:lang w:val="en-US" w:eastAsia="zh-CN" w:bidi="ar-SA"/>
        </w:rPr>
        <w:t>（三）人员要求</w:t>
      </w:r>
    </w:p>
    <w:p w14:paraId="505C8342">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rPr>
      </w:pPr>
      <w:r>
        <w:rPr>
          <w:rFonts w:hint="eastAsia" w:ascii="仿宋_GB2312" w:hAnsi="宋体" w:eastAsia="仿宋_GB2312" w:cs="宋体"/>
          <w:b w:val="0"/>
          <w:bCs w:val="0"/>
          <w:color w:val="000000"/>
          <w:kern w:val="0"/>
          <w:sz w:val="32"/>
          <w:szCs w:val="32"/>
          <w:highlight w:val="none"/>
          <w:lang w:val="en-US" w:eastAsia="zh-CN"/>
        </w:rPr>
        <w:t>1.项目负责人1人。资历要求：项目负责人应具有国家注册会计师执业资格证书，自比选公告发布之日起近5年内至少具有一项投资额不低于1亿元的工程竣工财务决算报告编制或审计业绩。</w:t>
      </w:r>
    </w:p>
    <w:p w14:paraId="7A39D3A6">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仿宋_GB2312" w:hAnsi="宋体" w:eastAsia="仿宋_GB2312" w:cs="宋体"/>
          <w:b w:val="0"/>
          <w:bCs w:val="0"/>
          <w:color w:val="000000"/>
          <w:kern w:val="0"/>
          <w:sz w:val="32"/>
          <w:szCs w:val="32"/>
          <w:highlight w:val="none"/>
          <w:lang w:val="en-US" w:eastAsia="zh-CN"/>
        </w:rPr>
      </w:pPr>
      <w:r>
        <w:rPr>
          <w:rFonts w:hint="eastAsia" w:ascii="仿宋_GB2312" w:hAnsi="宋体" w:eastAsia="仿宋_GB2312" w:cs="宋体"/>
          <w:b w:val="0"/>
          <w:bCs w:val="0"/>
          <w:color w:val="000000"/>
          <w:kern w:val="0"/>
          <w:sz w:val="32"/>
          <w:szCs w:val="32"/>
          <w:highlight w:val="none"/>
          <w:lang w:val="en-US" w:eastAsia="zh-CN"/>
        </w:rPr>
        <w:t>2.其他人员由中选人自行配备，但应满足采购项目工作需求。</w:t>
      </w:r>
    </w:p>
    <w:p w14:paraId="76F8D999">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黑体" w:hAnsi="黑体" w:eastAsia="黑体" w:cs="黑体"/>
          <w:b/>
          <w:color w:val="auto"/>
          <w:sz w:val="31"/>
          <w:szCs w:val="31"/>
          <w:highlight w:val="none"/>
          <w:lang w:val="en-US" w:eastAsia="zh-CN"/>
        </w:rPr>
      </w:pPr>
      <w:r>
        <w:rPr>
          <w:rFonts w:hint="eastAsia" w:ascii="黑体" w:hAnsi="黑体" w:eastAsia="黑体" w:cs="黑体"/>
          <w:b/>
          <w:color w:val="auto"/>
          <w:sz w:val="31"/>
          <w:szCs w:val="31"/>
          <w:highlight w:val="none"/>
          <w:lang w:val="en-US" w:eastAsia="zh-CN"/>
        </w:rPr>
        <w:t>五、参选件要求</w:t>
      </w:r>
    </w:p>
    <w:p w14:paraId="5749A975">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3" w:firstLineChars="200"/>
        <w:jc w:val="both"/>
        <w:textAlignment w:val="auto"/>
        <w:rPr>
          <w:rFonts w:hint="default" w:ascii="仿宋_GB2312" w:hAnsi="宋体" w:eastAsia="仿宋_GB2312" w:cs="宋体"/>
          <w:b w:val="0"/>
          <w:bCs w:val="0"/>
          <w:color w:val="000000"/>
          <w:kern w:val="0"/>
          <w:sz w:val="32"/>
          <w:szCs w:val="32"/>
          <w:highlight w:val="none"/>
          <w:lang w:val="en-US" w:eastAsia="zh-CN" w:bidi="ar-SA"/>
        </w:rPr>
      </w:pPr>
      <w:r>
        <w:rPr>
          <w:rFonts w:hint="eastAsia" w:ascii="楷体" w:hAnsi="楷体" w:eastAsia="楷体" w:cs="楷体"/>
          <w:b/>
          <w:bCs/>
          <w:color w:val="000000"/>
          <w:kern w:val="0"/>
          <w:sz w:val="32"/>
          <w:szCs w:val="32"/>
          <w:highlight w:val="none"/>
          <w:lang w:val="en-US" w:eastAsia="zh-CN" w:bidi="ar-SA"/>
        </w:rPr>
        <w:t>（一）</w:t>
      </w:r>
      <w:r>
        <w:rPr>
          <w:rFonts w:hint="eastAsia" w:ascii="仿宋_GB2312" w:hAnsi="宋体" w:eastAsia="仿宋_GB2312" w:cs="宋体"/>
          <w:b/>
          <w:bCs/>
          <w:color w:val="000000"/>
          <w:kern w:val="0"/>
          <w:sz w:val="32"/>
          <w:szCs w:val="32"/>
          <w:highlight w:val="none"/>
          <w:lang w:val="en-US" w:eastAsia="zh-CN" w:bidi="ar-SA"/>
        </w:rPr>
        <w:t>本项目最</w:t>
      </w:r>
      <w:r>
        <w:rPr>
          <w:rFonts w:hint="eastAsia" w:ascii="仿宋_GB2312" w:eastAsia="仿宋_GB2312" w:cs="宋体"/>
          <w:b/>
          <w:bCs/>
          <w:color w:val="000000"/>
          <w:kern w:val="0"/>
          <w:sz w:val="32"/>
          <w:szCs w:val="32"/>
          <w:highlight w:val="none"/>
          <w:lang w:val="en-US" w:eastAsia="zh-CN" w:bidi="ar-SA"/>
        </w:rPr>
        <w:t>高控制价为人民币77666元，参选件报价高于（含）最高控制价的视为无效参选件。</w:t>
      </w:r>
    </w:p>
    <w:p w14:paraId="18D8EDCD">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3" w:firstLineChars="200"/>
        <w:jc w:val="both"/>
        <w:textAlignment w:val="auto"/>
        <w:rPr>
          <w:rFonts w:hint="eastAsia" w:ascii="仿宋_GB2312" w:hAnsi="宋体" w:eastAsia="仿宋_GB2312" w:cs="宋体"/>
          <w:b w:val="0"/>
          <w:bCs w:val="0"/>
          <w:color w:val="000000"/>
          <w:kern w:val="0"/>
          <w:sz w:val="32"/>
          <w:szCs w:val="32"/>
          <w:highlight w:val="none"/>
          <w:lang w:val="en-US" w:eastAsia="zh-CN" w:bidi="ar-SA"/>
        </w:rPr>
      </w:pPr>
      <w:r>
        <w:rPr>
          <w:rFonts w:hint="eastAsia" w:ascii="楷体" w:hAnsi="楷体" w:eastAsia="楷体" w:cs="楷体"/>
          <w:b/>
          <w:bCs/>
          <w:color w:val="000000"/>
          <w:kern w:val="0"/>
          <w:sz w:val="32"/>
          <w:szCs w:val="32"/>
          <w:highlight w:val="none"/>
          <w:lang w:val="en-US" w:eastAsia="zh-CN" w:bidi="ar-SA"/>
        </w:rPr>
        <w:t>（二）</w:t>
      </w:r>
      <w:r>
        <w:rPr>
          <w:rFonts w:hint="eastAsia" w:ascii="仿宋_GB2312" w:eastAsia="仿宋_GB2312" w:cs="宋体"/>
          <w:b w:val="0"/>
          <w:bCs w:val="0"/>
          <w:color w:val="000000"/>
          <w:kern w:val="0"/>
          <w:sz w:val="32"/>
          <w:szCs w:val="32"/>
          <w:highlight w:val="none"/>
          <w:lang w:val="en-US" w:eastAsia="zh-CN" w:bidi="ar-SA"/>
        </w:rPr>
        <w:t>参选件应</w:t>
      </w:r>
      <w:r>
        <w:rPr>
          <w:rFonts w:hint="eastAsia" w:ascii="仿宋_GB2312" w:hAnsi="宋体" w:eastAsia="仿宋_GB2312" w:cs="宋体"/>
          <w:b w:val="0"/>
          <w:bCs w:val="0"/>
          <w:color w:val="000000"/>
          <w:kern w:val="0"/>
          <w:sz w:val="32"/>
          <w:szCs w:val="32"/>
          <w:highlight w:val="none"/>
          <w:lang w:val="en-US" w:eastAsia="zh-CN" w:bidi="ar-SA"/>
        </w:rPr>
        <w:t>盖有公章</w:t>
      </w:r>
      <w:r>
        <w:rPr>
          <w:rFonts w:hint="eastAsia" w:ascii="仿宋_GB2312" w:eastAsia="仿宋_GB2312" w:cs="宋体"/>
          <w:b w:val="0"/>
          <w:bCs w:val="0"/>
          <w:color w:val="000000"/>
          <w:kern w:val="0"/>
          <w:sz w:val="32"/>
          <w:szCs w:val="32"/>
          <w:highlight w:val="none"/>
          <w:lang w:val="en-US" w:eastAsia="zh-CN" w:bidi="ar-SA"/>
        </w:rPr>
        <w:t>、应</w:t>
      </w:r>
      <w:r>
        <w:rPr>
          <w:rFonts w:hint="eastAsia" w:ascii="仿宋_GB2312" w:hAnsi="宋体" w:eastAsia="仿宋_GB2312" w:cs="宋体"/>
          <w:b w:val="0"/>
          <w:bCs w:val="0"/>
          <w:color w:val="000000"/>
          <w:kern w:val="0"/>
          <w:sz w:val="32"/>
          <w:szCs w:val="32"/>
          <w:highlight w:val="none"/>
          <w:lang w:val="en-US" w:eastAsia="zh-CN" w:bidi="ar-SA"/>
        </w:rPr>
        <w:t>自行密封，密封处</w:t>
      </w:r>
      <w:r>
        <w:rPr>
          <w:rFonts w:hint="eastAsia" w:ascii="仿宋_GB2312" w:eastAsia="仿宋_GB2312" w:cs="宋体"/>
          <w:b w:val="0"/>
          <w:bCs w:val="0"/>
          <w:color w:val="000000"/>
          <w:kern w:val="0"/>
          <w:sz w:val="32"/>
          <w:szCs w:val="32"/>
          <w:highlight w:val="none"/>
          <w:lang w:val="en-US" w:eastAsia="zh-CN" w:bidi="ar-SA"/>
        </w:rPr>
        <w:t>应</w:t>
      </w:r>
      <w:r>
        <w:rPr>
          <w:rFonts w:hint="eastAsia" w:ascii="仿宋_GB2312" w:hAnsi="宋体" w:eastAsia="仿宋_GB2312" w:cs="宋体"/>
          <w:b w:val="0"/>
          <w:bCs w:val="0"/>
          <w:color w:val="000000"/>
          <w:kern w:val="0"/>
          <w:sz w:val="32"/>
          <w:szCs w:val="32"/>
          <w:highlight w:val="none"/>
          <w:lang w:val="en-US" w:eastAsia="zh-CN" w:bidi="ar-SA"/>
        </w:rPr>
        <w:t>加盖公章，</w:t>
      </w:r>
      <w:r>
        <w:rPr>
          <w:rFonts w:hint="eastAsia" w:ascii="仿宋_GB2312" w:eastAsia="仿宋_GB2312" w:cs="宋体"/>
          <w:b w:val="0"/>
          <w:bCs w:val="0"/>
          <w:color w:val="000000"/>
          <w:kern w:val="0"/>
          <w:sz w:val="32"/>
          <w:szCs w:val="32"/>
          <w:highlight w:val="none"/>
          <w:lang w:val="en-US" w:eastAsia="zh-CN" w:bidi="ar-SA"/>
        </w:rPr>
        <w:t>参选件</w:t>
      </w:r>
      <w:r>
        <w:rPr>
          <w:rFonts w:hint="eastAsia" w:ascii="仿宋_GB2312" w:hAnsi="宋体" w:eastAsia="仿宋_GB2312" w:cs="宋体"/>
          <w:b w:val="0"/>
          <w:bCs w:val="0"/>
          <w:color w:val="000000"/>
          <w:kern w:val="0"/>
          <w:sz w:val="32"/>
          <w:szCs w:val="32"/>
          <w:highlight w:val="none"/>
          <w:lang w:val="en-US" w:eastAsia="zh-CN" w:bidi="ar-SA"/>
        </w:rPr>
        <w:t>应</w:t>
      </w:r>
      <w:r>
        <w:rPr>
          <w:rFonts w:hint="eastAsia" w:ascii="仿宋_GB2312" w:eastAsia="仿宋_GB2312" w:cs="宋体"/>
          <w:b w:val="0"/>
          <w:bCs w:val="0"/>
          <w:color w:val="000000"/>
          <w:kern w:val="0"/>
          <w:sz w:val="32"/>
          <w:szCs w:val="32"/>
          <w:highlight w:val="none"/>
          <w:lang w:val="en-US" w:eastAsia="zh-CN" w:bidi="ar-SA"/>
        </w:rPr>
        <w:t>响应本公告提出的所有内容，并</w:t>
      </w:r>
      <w:r>
        <w:rPr>
          <w:rFonts w:hint="eastAsia" w:ascii="仿宋_GB2312" w:hAnsi="宋体" w:eastAsia="仿宋_GB2312" w:cs="宋体"/>
          <w:b w:val="0"/>
          <w:bCs w:val="0"/>
          <w:color w:val="000000"/>
          <w:kern w:val="0"/>
          <w:sz w:val="32"/>
          <w:szCs w:val="32"/>
          <w:highlight w:val="none"/>
          <w:lang w:val="en-US" w:eastAsia="zh-CN" w:bidi="ar-SA"/>
        </w:rPr>
        <w:t>于报价截止时间前邮寄或亲自送达至联系通讯地址。</w:t>
      </w:r>
      <w:r>
        <w:rPr>
          <w:rFonts w:hint="eastAsia" w:ascii="仿宋_GB2312" w:eastAsia="仿宋_GB2312" w:cs="宋体"/>
          <w:b/>
          <w:bCs/>
          <w:color w:val="000000"/>
          <w:kern w:val="0"/>
          <w:sz w:val="32"/>
          <w:szCs w:val="32"/>
          <w:highlight w:val="none"/>
          <w:lang w:val="en-US" w:eastAsia="zh-CN" w:bidi="ar-SA"/>
        </w:rPr>
        <w:t>不符合以上要求的参选</w:t>
      </w:r>
      <w:r>
        <w:rPr>
          <w:rFonts w:hint="eastAsia" w:ascii="仿宋_GB2312" w:hAnsi="宋体" w:eastAsia="仿宋_GB2312" w:cs="宋体"/>
          <w:b/>
          <w:bCs/>
          <w:color w:val="000000"/>
          <w:kern w:val="0"/>
          <w:sz w:val="32"/>
          <w:szCs w:val="32"/>
          <w:highlight w:val="none"/>
          <w:lang w:val="en-US" w:eastAsia="zh-CN" w:bidi="ar-SA"/>
        </w:rPr>
        <w:t>件作无效处理</w:t>
      </w:r>
      <w:r>
        <w:rPr>
          <w:rFonts w:hint="eastAsia" w:ascii="仿宋_GB2312" w:eastAsia="仿宋_GB2312" w:cs="宋体"/>
          <w:b/>
          <w:bCs/>
          <w:color w:val="000000"/>
          <w:kern w:val="0"/>
          <w:sz w:val="32"/>
          <w:szCs w:val="32"/>
          <w:highlight w:val="none"/>
          <w:lang w:val="en-US" w:eastAsia="zh-CN" w:bidi="ar-SA"/>
        </w:rPr>
        <w:t>。</w:t>
      </w:r>
    </w:p>
    <w:p w14:paraId="2B353EFA">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3" w:firstLineChars="200"/>
        <w:jc w:val="both"/>
        <w:textAlignment w:val="auto"/>
        <w:rPr>
          <w:rFonts w:hint="eastAsia" w:ascii="楷体" w:hAnsi="楷体" w:eastAsia="楷体" w:cs="楷体"/>
          <w:b/>
          <w:bCs/>
          <w:color w:val="000000"/>
          <w:kern w:val="0"/>
          <w:sz w:val="32"/>
          <w:szCs w:val="32"/>
          <w:highlight w:val="none"/>
          <w:lang w:val="en-US" w:eastAsia="zh-CN" w:bidi="ar-SA"/>
        </w:rPr>
      </w:pPr>
      <w:r>
        <w:rPr>
          <w:rFonts w:hint="eastAsia" w:ascii="楷体" w:hAnsi="楷体" w:eastAsia="楷体" w:cs="楷体"/>
          <w:b/>
          <w:bCs/>
          <w:color w:val="000000"/>
          <w:kern w:val="0"/>
          <w:sz w:val="32"/>
          <w:szCs w:val="32"/>
          <w:highlight w:val="none"/>
          <w:lang w:val="en-US" w:eastAsia="zh-CN" w:bidi="ar-SA"/>
        </w:rPr>
        <w:t>（三）参选件内容</w:t>
      </w:r>
    </w:p>
    <w:p w14:paraId="3A741CFF">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both"/>
        <w:textAlignment w:val="auto"/>
        <w:rPr>
          <w:rFonts w:hint="eastAsia" w:ascii="仿宋" w:hAnsi="仿宋" w:eastAsia="仿宋"/>
          <w:b w:val="0"/>
          <w:bCs w:val="0"/>
          <w:sz w:val="32"/>
          <w:szCs w:val="32"/>
          <w:highlight w:val="none"/>
          <w:u w:val="none"/>
          <w:lang w:val="en-US" w:eastAsia="zh-CN"/>
        </w:rPr>
      </w:pPr>
      <w:r>
        <w:rPr>
          <w:rFonts w:hint="eastAsia" w:ascii="仿宋" w:hAnsi="仿宋" w:eastAsia="仿宋"/>
          <w:b w:val="0"/>
          <w:bCs w:val="0"/>
          <w:sz w:val="32"/>
          <w:szCs w:val="32"/>
          <w:highlight w:val="none"/>
          <w:u w:val="none"/>
          <w:lang w:val="en-US" w:eastAsia="zh-CN"/>
        </w:rPr>
        <w:t>1.授权函，参选人代表必须经参选人的法定代表人关于参与本项目报价的授权，请提供法定代表人授权供应商代表的授权委托书原件（参选人代表是法定代表人的无需提供）、法定代表人和参选人代表的身份证复印件；</w:t>
      </w:r>
    </w:p>
    <w:p w14:paraId="7115ED58">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both"/>
        <w:textAlignment w:val="auto"/>
        <w:rPr>
          <w:rFonts w:hint="eastAsia" w:ascii="仿宋" w:hAnsi="仿宋" w:eastAsia="仿宋"/>
          <w:b w:val="0"/>
          <w:bCs w:val="0"/>
          <w:sz w:val="32"/>
          <w:szCs w:val="32"/>
          <w:highlight w:val="none"/>
          <w:u w:val="none"/>
          <w:lang w:eastAsia="zh-CN"/>
        </w:rPr>
      </w:pPr>
      <w:r>
        <w:rPr>
          <w:rFonts w:hint="eastAsia" w:ascii="仿宋" w:hAnsi="仿宋" w:eastAsia="仿宋"/>
          <w:b w:val="0"/>
          <w:bCs w:val="0"/>
          <w:sz w:val="32"/>
          <w:szCs w:val="32"/>
          <w:highlight w:val="none"/>
          <w:u w:val="none"/>
          <w:lang w:val="en-US" w:eastAsia="zh-CN"/>
        </w:rPr>
        <w:t>2.</w:t>
      </w:r>
      <w:r>
        <w:rPr>
          <w:rFonts w:hint="eastAsia" w:ascii="仿宋" w:hAnsi="仿宋" w:eastAsia="仿宋"/>
          <w:b w:val="0"/>
          <w:bCs w:val="0"/>
          <w:sz w:val="32"/>
          <w:szCs w:val="32"/>
          <w:highlight w:val="none"/>
          <w:u w:val="none"/>
        </w:rPr>
        <w:t>报价函(含报价</w:t>
      </w:r>
      <w:r>
        <w:rPr>
          <w:rFonts w:hint="eastAsia" w:ascii="仿宋" w:hAnsi="仿宋" w:eastAsia="仿宋"/>
          <w:b w:val="0"/>
          <w:bCs w:val="0"/>
          <w:sz w:val="32"/>
          <w:szCs w:val="32"/>
          <w:highlight w:val="none"/>
          <w:u w:val="none"/>
          <w:lang w:eastAsia="zh-CN"/>
        </w:rPr>
        <w:t>、</w:t>
      </w:r>
      <w:r>
        <w:rPr>
          <w:rFonts w:hint="eastAsia" w:ascii="仿宋" w:hAnsi="仿宋" w:eastAsia="仿宋"/>
          <w:b w:val="0"/>
          <w:bCs w:val="0"/>
          <w:sz w:val="32"/>
          <w:szCs w:val="32"/>
          <w:highlight w:val="none"/>
          <w:u w:val="none"/>
        </w:rPr>
        <w:t>计算公式</w:t>
      </w:r>
      <w:r>
        <w:rPr>
          <w:rFonts w:hint="eastAsia" w:ascii="仿宋" w:hAnsi="仿宋" w:eastAsia="仿宋"/>
          <w:b w:val="0"/>
          <w:bCs w:val="0"/>
          <w:sz w:val="32"/>
          <w:szCs w:val="32"/>
          <w:highlight w:val="none"/>
          <w:u w:val="none"/>
          <w:lang w:eastAsia="zh-CN"/>
        </w:rPr>
        <w:t>、联系人及联系方式</w:t>
      </w:r>
      <w:r>
        <w:rPr>
          <w:rFonts w:hint="eastAsia" w:ascii="仿宋" w:hAnsi="仿宋" w:eastAsia="仿宋"/>
          <w:b w:val="0"/>
          <w:bCs w:val="0"/>
          <w:sz w:val="32"/>
          <w:szCs w:val="32"/>
          <w:highlight w:val="none"/>
          <w:u w:val="none"/>
        </w:rPr>
        <w:t>，格式</w:t>
      </w:r>
      <w:r>
        <w:rPr>
          <w:rFonts w:hint="eastAsia" w:ascii="仿宋" w:hAnsi="仿宋" w:eastAsia="仿宋"/>
          <w:b w:val="0"/>
          <w:bCs w:val="0"/>
          <w:sz w:val="32"/>
          <w:szCs w:val="32"/>
          <w:highlight w:val="none"/>
          <w:u w:val="none"/>
          <w:lang w:val="en-US" w:eastAsia="zh-CN"/>
        </w:rPr>
        <w:t>详见附件1</w:t>
      </w:r>
      <w:r>
        <w:rPr>
          <w:rFonts w:hint="eastAsia" w:ascii="仿宋" w:hAnsi="仿宋" w:eastAsia="仿宋"/>
          <w:b w:val="0"/>
          <w:bCs w:val="0"/>
          <w:sz w:val="32"/>
          <w:szCs w:val="32"/>
          <w:highlight w:val="none"/>
          <w:u w:val="none"/>
        </w:rPr>
        <w:t>）</w:t>
      </w:r>
      <w:r>
        <w:rPr>
          <w:rFonts w:hint="eastAsia" w:ascii="仿宋" w:hAnsi="仿宋" w:eastAsia="仿宋"/>
          <w:b w:val="0"/>
          <w:bCs w:val="0"/>
          <w:sz w:val="32"/>
          <w:szCs w:val="32"/>
          <w:highlight w:val="none"/>
          <w:u w:val="none"/>
          <w:lang w:eastAsia="zh-CN"/>
        </w:rPr>
        <w:t>；</w:t>
      </w:r>
    </w:p>
    <w:p w14:paraId="582E7496">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both"/>
        <w:textAlignment w:val="auto"/>
        <w:rPr>
          <w:rFonts w:hint="eastAsia" w:ascii="仿宋" w:hAnsi="仿宋" w:eastAsia="仿宋"/>
          <w:b w:val="0"/>
          <w:bCs w:val="0"/>
          <w:sz w:val="32"/>
          <w:szCs w:val="32"/>
          <w:highlight w:val="none"/>
          <w:u w:val="none"/>
          <w:lang w:eastAsia="zh-CN"/>
        </w:rPr>
      </w:pPr>
      <w:r>
        <w:rPr>
          <w:rFonts w:hint="eastAsia" w:ascii="仿宋" w:hAnsi="仿宋" w:eastAsia="仿宋"/>
          <w:b w:val="0"/>
          <w:bCs w:val="0"/>
          <w:sz w:val="32"/>
          <w:szCs w:val="32"/>
          <w:highlight w:val="none"/>
          <w:u w:val="none"/>
          <w:lang w:val="en-US" w:eastAsia="zh-CN"/>
        </w:rPr>
        <w:t>3.</w:t>
      </w:r>
      <w:r>
        <w:rPr>
          <w:rFonts w:hint="eastAsia" w:ascii="仿宋" w:hAnsi="仿宋" w:eastAsia="仿宋"/>
          <w:b w:val="0"/>
          <w:bCs w:val="0"/>
          <w:sz w:val="32"/>
          <w:szCs w:val="32"/>
          <w:highlight w:val="none"/>
          <w:u w:val="none"/>
        </w:rPr>
        <w:t>营业执照</w:t>
      </w:r>
      <w:r>
        <w:rPr>
          <w:rFonts w:hint="eastAsia" w:ascii="仿宋" w:hAnsi="仿宋" w:eastAsia="仿宋"/>
          <w:b w:val="0"/>
          <w:bCs w:val="0"/>
          <w:sz w:val="32"/>
          <w:szCs w:val="32"/>
          <w:highlight w:val="none"/>
          <w:u w:val="none"/>
          <w:lang w:eastAsia="zh-CN"/>
        </w:rPr>
        <w:t>；</w:t>
      </w:r>
    </w:p>
    <w:p w14:paraId="7E6F4A9F">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both"/>
        <w:textAlignment w:val="auto"/>
        <w:rPr>
          <w:rFonts w:hint="eastAsia" w:ascii="仿宋" w:hAnsi="仿宋" w:eastAsia="仿宋"/>
          <w:b w:val="0"/>
          <w:bCs w:val="0"/>
          <w:sz w:val="32"/>
          <w:szCs w:val="32"/>
          <w:highlight w:val="none"/>
          <w:u w:val="none"/>
          <w:lang w:eastAsia="zh-CN"/>
        </w:rPr>
      </w:pPr>
      <w:r>
        <w:rPr>
          <w:rFonts w:hint="eastAsia" w:ascii="仿宋" w:hAnsi="仿宋" w:eastAsia="仿宋"/>
          <w:b w:val="0"/>
          <w:bCs w:val="0"/>
          <w:sz w:val="32"/>
          <w:szCs w:val="32"/>
          <w:highlight w:val="none"/>
          <w:u w:val="none"/>
          <w:lang w:val="en-US" w:eastAsia="zh-CN"/>
        </w:rPr>
        <w:t>4.</w:t>
      </w:r>
      <w:r>
        <w:rPr>
          <w:rFonts w:hint="eastAsia" w:ascii="仿宋" w:hAnsi="仿宋" w:eastAsia="仿宋"/>
          <w:b w:val="0"/>
          <w:bCs w:val="0"/>
          <w:sz w:val="32"/>
          <w:szCs w:val="32"/>
          <w:highlight w:val="none"/>
          <w:u w:val="none"/>
        </w:rPr>
        <w:t>会计师事务所执业证书</w:t>
      </w:r>
      <w:r>
        <w:rPr>
          <w:rFonts w:hint="eastAsia" w:ascii="仿宋" w:hAnsi="仿宋" w:eastAsia="仿宋"/>
          <w:b w:val="0"/>
          <w:bCs w:val="0"/>
          <w:sz w:val="32"/>
          <w:szCs w:val="32"/>
          <w:highlight w:val="none"/>
          <w:u w:val="none"/>
          <w:lang w:eastAsia="zh-CN"/>
        </w:rPr>
        <w:t>；</w:t>
      </w:r>
    </w:p>
    <w:p w14:paraId="1669F0AC">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both"/>
        <w:textAlignment w:val="auto"/>
        <w:rPr>
          <w:rFonts w:hint="eastAsia" w:ascii="仿宋_GB2312" w:eastAsia="仿宋" w:cs="宋体"/>
          <w:b w:val="0"/>
          <w:bCs w:val="0"/>
          <w:color w:val="000000"/>
          <w:kern w:val="0"/>
          <w:sz w:val="32"/>
          <w:szCs w:val="32"/>
          <w:highlight w:val="none"/>
          <w:u w:val="none"/>
          <w:lang w:val="en-US" w:eastAsia="zh-CN" w:bidi="ar-SA"/>
        </w:rPr>
      </w:pPr>
      <w:r>
        <w:rPr>
          <w:rFonts w:hint="eastAsia" w:ascii="仿宋" w:hAnsi="仿宋" w:eastAsia="仿宋"/>
          <w:b w:val="0"/>
          <w:bCs w:val="0"/>
          <w:sz w:val="32"/>
          <w:szCs w:val="32"/>
          <w:highlight w:val="none"/>
          <w:u w:val="none"/>
          <w:lang w:val="en-US" w:eastAsia="zh-CN"/>
        </w:rPr>
        <w:t>5.</w:t>
      </w:r>
      <w:r>
        <w:rPr>
          <w:rFonts w:hint="eastAsia" w:ascii="仿宋" w:hAnsi="仿宋" w:eastAsia="仿宋"/>
          <w:b w:val="0"/>
          <w:bCs w:val="0"/>
          <w:sz w:val="32"/>
          <w:szCs w:val="32"/>
          <w:highlight w:val="none"/>
          <w:u w:val="none"/>
        </w:rPr>
        <w:t>中小企业声明函</w:t>
      </w:r>
      <w:r>
        <w:rPr>
          <w:rFonts w:hint="eastAsia" w:ascii="仿宋" w:hAnsi="仿宋" w:eastAsia="仿宋"/>
          <w:b w:val="0"/>
          <w:bCs w:val="0"/>
          <w:sz w:val="32"/>
          <w:szCs w:val="32"/>
          <w:highlight w:val="none"/>
          <w:u w:val="none"/>
          <w:lang w:eastAsia="zh-CN"/>
        </w:rPr>
        <w:t>；</w:t>
      </w:r>
    </w:p>
    <w:p w14:paraId="3493D474">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both"/>
        <w:textAlignment w:val="auto"/>
        <w:rPr>
          <w:rFonts w:hint="eastAsia" w:ascii="仿宋" w:hAnsi="仿宋" w:eastAsia="仿宋"/>
          <w:b w:val="0"/>
          <w:bCs w:val="0"/>
          <w:sz w:val="32"/>
          <w:szCs w:val="32"/>
          <w:highlight w:val="none"/>
          <w:u w:val="none"/>
          <w:lang w:val="en-US" w:eastAsia="zh-CN"/>
        </w:rPr>
      </w:pPr>
      <w:r>
        <w:rPr>
          <w:rFonts w:hint="eastAsia" w:ascii="仿宋" w:hAnsi="仿宋" w:eastAsia="仿宋"/>
          <w:b w:val="0"/>
          <w:bCs w:val="0"/>
          <w:sz w:val="32"/>
          <w:szCs w:val="32"/>
          <w:highlight w:val="none"/>
          <w:u w:val="none"/>
          <w:lang w:val="en-US" w:eastAsia="zh-CN"/>
        </w:rPr>
        <w:t>6.</w:t>
      </w:r>
      <w:r>
        <w:rPr>
          <w:rFonts w:hint="eastAsia" w:ascii="仿宋" w:hAnsi="仿宋" w:eastAsia="仿宋"/>
          <w:b w:val="0"/>
          <w:bCs w:val="0"/>
          <w:sz w:val="32"/>
          <w:szCs w:val="32"/>
          <w:highlight w:val="none"/>
          <w:u w:val="none"/>
        </w:rPr>
        <w:t>项目负责人</w:t>
      </w:r>
      <w:r>
        <w:rPr>
          <w:rFonts w:hint="eastAsia" w:ascii="仿宋" w:hAnsi="仿宋" w:eastAsia="仿宋"/>
          <w:b w:val="0"/>
          <w:bCs w:val="0"/>
          <w:sz w:val="32"/>
          <w:szCs w:val="32"/>
          <w:highlight w:val="none"/>
          <w:u w:val="none"/>
          <w:lang w:eastAsia="zh-CN"/>
        </w:rPr>
        <w:t>资料（身份证复印件、</w:t>
      </w:r>
      <w:r>
        <w:rPr>
          <w:rFonts w:hint="eastAsia" w:ascii="仿宋" w:hAnsi="仿宋" w:eastAsia="仿宋"/>
          <w:b w:val="0"/>
          <w:bCs w:val="0"/>
          <w:sz w:val="32"/>
          <w:szCs w:val="32"/>
          <w:highlight w:val="none"/>
          <w:u w:val="none"/>
          <w:lang w:val="en-US" w:eastAsia="zh-CN"/>
        </w:rPr>
        <w:t>执业资格证书、投标截止时间前连续6个月（不含投标当月）的社保证明，自比选公告发布之日起近5年内至少具有一项投资额不低于1亿元的工程竣工财务决算编制或审计业绩证明）</w:t>
      </w:r>
    </w:p>
    <w:p w14:paraId="0A53430E">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both"/>
        <w:textAlignment w:val="auto"/>
        <w:rPr>
          <w:rFonts w:hint="eastAsia" w:ascii="仿宋" w:hAnsi="仿宋" w:eastAsia="仿宋"/>
          <w:b w:val="0"/>
          <w:bCs w:val="0"/>
          <w:sz w:val="32"/>
          <w:szCs w:val="32"/>
          <w:highlight w:val="none"/>
          <w:u w:val="none"/>
          <w:lang w:val="en-US" w:eastAsia="zh-CN"/>
        </w:rPr>
      </w:pPr>
      <w:r>
        <w:rPr>
          <w:rFonts w:hint="eastAsia" w:ascii="仿宋" w:hAnsi="仿宋" w:eastAsia="仿宋"/>
          <w:b w:val="0"/>
          <w:bCs w:val="0"/>
          <w:sz w:val="32"/>
          <w:szCs w:val="32"/>
          <w:highlight w:val="none"/>
          <w:u w:val="none"/>
          <w:lang w:val="en-US" w:eastAsia="zh-CN"/>
        </w:rPr>
        <w:t>7.参选人应提供参加采购活动前三年内在经营活动中没有重大违法记录书面声明函（格式详见附件2）。</w:t>
      </w:r>
    </w:p>
    <w:p w14:paraId="59C71F41">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left="0" w:leftChars="0" w:firstLine="643" w:firstLineChars="200"/>
        <w:jc w:val="both"/>
        <w:textAlignment w:val="auto"/>
        <w:rPr>
          <w:rFonts w:hint="eastAsia" w:ascii="仿宋" w:hAnsi="仿宋" w:eastAsia="仿宋"/>
          <w:b/>
          <w:bCs/>
          <w:color w:val="auto"/>
          <w:sz w:val="32"/>
          <w:szCs w:val="32"/>
          <w:highlight w:val="none"/>
          <w:u w:val="none"/>
          <w:lang w:val="en-US" w:eastAsia="zh-CN"/>
        </w:rPr>
      </w:pPr>
      <w:r>
        <w:rPr>
          <w:rFonts w:hint="eastAsia" w:ascii="仿宋" w:hAnsi="仿宋" w:eastAsia="仿宋"/>
          <w:b/>
          <w:bCs/>
          <w:color w:val="auto"/>
          <w:sz w:val="32"/>
          <w:szCs w:val="32"/>
          <w:highlight w:val="none"/>
          <w:u w:val="none"/>
          <w:lang w:val="en-US" w:eastAsia="zh-CN"/>
        </w:rPr>
        <w:t>以上参选材料均应加盖单位公章，缺一不可，材料不齐全、未加盖公章、未注明联系人或联系电话的参选信件视为无效参选件。</w:t>
      </w:r>
    </w:p>
    <w:p w14:paraId="3CD7F973">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黑体" w:hAnsi="黑体" w:eastAsia="黑体" w:cs="黑体"/>
          <w:b/>
          <w:color w:val="auto"/>
          <w:sz w:val="31"/>
          <w:szCs w:val="31"/>
          <w:highlight w:val="none"/>
          <w:lang w:val="en-US" w:eastAsia="zh-CN"/>
        </w:rPr>
      </w:pPr>
      <w:r>
        <w:rPr>
          <w:rFonts w:hint="eastAsia" w:ascii="黑体" w:hAnsi="黑体" w:eastAsia="黑体" w:cs="黑体"/>
          <w:b/>
          <w:color w:val="auto"/>
          <w:sz w:val="31"/>
          <w:szCs w:val="31"/>
          <w:highlight w:val="none"/>
          <w:lang w:val="en-US" w:eastAsia="zh-CN"/>
        </w:rPr>
        <w:t>六、履约保证金</w:t>
      </w:r>
    </w:p>
    <w:p w14:paraId="007ACC5B">
      <w:pPr>
        <w:pStyle w:val="12"/>
        <w:pageBreakBefore w:val="0"/>
        <w:shd w:val="clear"/>
        <w:kinsoku/>
        <w:overflowPunct/>
        <w:topLinePunct w:val="0"/>
        <w:autoSpaceDE/>
        <w:bidi w:val="0"/>
        <w:snapToGrid w:val="0"/>
        <w:spacing w:before="0" w:beforeAutospacing="0" w:after="0" w:afterAutospacing="0" w:line="560" w:lineRule="exact"/>
        <w:ind w:firstLine="640" w:firstLineChars="200"/>
        <w:jc w:val="both"/>
        <w:textAlignment w:val="auto"/>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本项目履约保证金为合同金额的10%：在签订合同前，中选人应向采购人提交履约保证金（合同总额的10%），账户信息如下：</w:t>
      </w:r>
    </w:p>
    <w:p w14:paraId="6AC16320">
      <w:pPr>
        <w:pStyle w:val="12"/>
        <w:pageBreakBefore w:val="0"/>
        <w:shd w:val="clear"/>
        <w:kinsoku/>
        <w:overflowPunct/>
        <w:topLinePunct w:val="0"/>
        <w:autoSpaceDE/>
        <w:bidi w:val="0"/>
        <w:snapToGrid w:val="0"/>
        <w:spacing w:before="0" w:beforeAutospacing="0" w:after="0" w:afterAutospacing="0" w:line="560" w:lineRule="exact"/>
        <w:ind w:firstLine="640" w:firstLineChars="200"/>
        <w:jc w:val="both"/>
        <w:textAlignment w:val="auto"/>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账号：35001635007059000828</w:t>
      </w:r>
    </w:p>
    <w:p w14:paraId="45782645">
      <w:pPr>
        <w:pStyle w:val="12"/>
        <w:pageBreakBefore w:val="0"/>
        <w:shd w:val="clear"/>
        <w:kinsoku/>
        <w:overflowPunct/>
        <w:topLinePunct w:val="0"/>
        <w:autoSpaceDE/>
        <w:bidi w:val="0"/>
        <w:snapToGrid w:val="0"/>
        <w:spacing w:before="0" w:beforeAutospacing="0" w:after="0" w:afterAutospacing="0" w:line="560" w:lineRule="exact"/>
        <w:ind w:firstLine="640" w:firstLineChars="200"/>
        <w:jc w:val="both"/>
        <w:textAlignment w:val="auto"/>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户名：福建省湄洲湾港口管理局航道管理站</w:t>
      </w:r>
    </w:p>
    <w:p w14:paraId="62BAE16D">
      <w:pPr>
        <w:pStyle w:val="12"/>
        <w:pageBreakBefore w:val="0"/>
        <w:shd w:val="clear"/>
        <w:kinsoku/>
        <w:overflowPunct/>
        <w:topLinePunct w:val="0"/>
        <w:autoSpaceDE/>
        <w:bidi w:val="0"/>
        <w:snapToGrid w:val="0"/>
        <w:spacing w:before="0" w:beforeAutospacing="0" w:after="0" w:afterAutospacing="0" w:line="560" w:lineRule="exact"/>
        <w:ind w:firstLine="640" w:firstLineChars="200"/>
        <w:jc w:val="both"/>
        <w:textAlignment w:val="auto"/>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开户行：中国建设银行秀屿支行</w:t>
      </w:r>
    </w:p>
    <w:p w14:paraId="4EF88FF8">
      <w:pPr>
        <w:pStyle w:val="12"/>
        <w:pageBreakBefore w:val="0"/>
        <w:shd w:val="clear"/>
        <w:kinsoku/>
        <w:overflowPunct/>
        <w:topLinePunct w:val="0"/>
        <w:autoSpaceDE/>
        <w:bidi w:val="0"/>
        <w:snapToGrid w:val="0"/>
        <w:spacing w:before="0" w:beforeAutospacing="0" w:after="0" w:afterAutospacing="0" w:line="560" w:lineRule="exact"/>
        <w:ind w:firstLine="640" w:firstLineChars="200"/>
        <w:jc w:val="both"/>
        <w:textAlignment w:val="auto"/>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在未违约情况下，履约保证金在整个采购项目实施完毕并验收合格后30个工作日内无息退还。如因中选人原因造成合同解除的，采购人有权不返还履约保证金。</w:t>
      </w:r>
    </w:p>
    <w:p w14:paraId="4050CC89">
      <w:pPr>
        <w:pStyle w:val="12"/>
        <w:pageBreakBefore w:val="0"/>
        <w:shd w:val="clear"/>
        <w:kinsoku/>
        <w:overflowPunct/>
        <w:topLinePunct w:val="0"/>
        <w:autoSpaceDE/>
        <w:bidi w:val="0"/>
        <w:snapToGrid w:val="0"/>
        <w:spacing w:before="0" w:beforeAutospacing="0" w:after="0" w:afterAutospacing="0" w:line="560" w:lineRule="exact"/>
        <w:ind w:firstLine="640" w:firstLineChars="200"/>
        <w:jc w:val="both"/>
        <w:textAlignment w:val="auto"/>
        <w:rPr>
          <w:rFonts w:hint="eastAsia" w:asciiTheme="minorEastAsia" w:hAnsiTheme="minorEastAsia" w:eastAsiaTheme="minorEastAsia" w:cstheme="minorEastAsia"/>
          <w:b/>
          <w:bCs/>
          <w:color w:val="auto"/>
          <w:sz w:val="24"/>
          <w:szCs w:val="24"/>
          <w:highlight w:val="none"/>
        </w:rPr>
      </w:pPr>
      <w:r>
        <w:rPr>
          <w:rFonts w:hint="default" w:ascii="仿宋" w:hAnsi="仿宋" w:eastAsia="仿宋" w:cs="Times New Roman"/>
          <w:b w:val="0"/>
          <w:bCs w:val="0"/>
          <w:color w:val="000000"/>
          <w:kern w:val="0"/>
          <w:sz w:val="32"/>
          <w:szCs w:val="32"/>
          <w:highlight w:val="none"/>
          <w:u w:val="none"/>
          <w:lang w:val="en-US" w:eastAsia="zh-CN" w:bidi="ar-SA"/>
        </w:rPr>
        <w:t>未按时提交</w:t>
      </w:r>
      <w:r>
        <w:rPr>
          <w:rFonts w:hint="eastAsia" w:ascii="仿宋" w:hAnsi="仿宋" w:eastAsia="仿宋" w:cs="Times New Roman"/>
          <w:b w:val="0"/>
          <w:bCs w:val="0"/>
          <w:color w:val="000000"/>
          <w:kern w:val="0"/>
          <w:sz w:val="32"/>
          <w:szCs w:val="32"/>
          <w:highlight w:val="none"/>
          <w:u w:val="none"/>
          <w:lang w:val="en-US" w:eastAsia="zh-CN" w:bidi="ar-SA"/>
        </w:rPr>
        <w:t>履约</w:t>
      </w:r>
      <w:r>
        <w:rPr>
          <w:rFonts w:hint="default" w:ascii="仿宋" w:hAnsi="仿宋" w:eastAsia="仿宋" w:cs="Times New Roman"/>
          <w:b w:val="0"/>
          <w:bCs w:val="0"/>
          <w:color w:val="000000"/>
          <w:kern w:val="0"/>
          <w:sz w:val="32"/>
          <w:szCs w:val="32"/>
          <w:highlight w:val="none"/>
          <w:u w:val="none"/>
          <w:lang w:val="en-US" w:eastAsia="zh-CN" w:bidi="ar-SA"/>
        </w:rPr>
        <w:t>保证金的</w:t>
      </w:r>
      <w:r>
        <w:rPr>
          <w:rFonts w:hint="eastAsia" w:ascii="仿宋" w:hAnsi="仿宋" w:eastAsia="仿宋" w:cs="Times New Roman"/>
          <w:b w:val="0"/>
          <w:bCs w:val="0"/>
          <w:color w:val="000000"/>
          <w:kern w:val="0"/>
          <w:sz w:val="32"/>
          <w:szCs w:val="32"/>
          <w:highlight w:val="none"/>
          <w:u w:val="none"/>
          <w:lang w:val="en-US" w:eastAsia="zh-CN" w:bidi="ar-SA"/>
        </w:rPr>
        <w:t>，采购人有权不签订合同</w:t>
      </w:r>
      <w:r>
        <w:rPr>
          <w:rFonts w:hint="default" w:ascii="仿宋" w:hAnsi="仿宋" w:eastAsia="仿宋" w:cs="Times New Roman"/>
          <w:b w:val="0"/>
          <w:bCs w:val="0"/>
          <w:color w:val="000000"/>
          <w:kern w:val="0"/>
          <w:sz w:val="32"/>
          <w:szCs w:val="32"/>
          <w:highlight w:val="none"/>
          <w:u w:val="none"/>
          <w:lang w:val="en-US" w:eastAsia="zh-CN" w:bidi="ar-SA"/>
        </w:rPr>
        <w:t>。</w:t>
      </w:r>
      <w:r>
        <w:rPr>
          <w:rFonts w:hint="eastAsia" w:ascii="仿宋" w:hAnsi="仿宋" w:eastAsia="仿宋" w:cs="Times New Roman"/>
          <w:b w:val="0"/>
          <w:bCs w:val="0"/>
          <w:color w:val="000000"/>
          <w:kern w:val="0"/>
          <w:sz w:val="32"/>
          <w:szCs w:val="32"/>
          <w:highlight w:val="none"/>
          <w:u w:val="none"/>
          <w:lang w:val="en-US" w:eastAsia="zh-CN" w:bidi="ar-SA"/>
        </w:rPr>
        <w:t>中</w:t>
      </w:r>
      <w:r>
        <w:rPr>
          <w:rFonts w:hint="default" w:ascii="仿宋" w:hAnsi="仿宋" w:eastAsia="仿宋" w:cs="Times New Roman"/>
          <w:b w:val="0"/>
          <w:bCs w:val="0"/>
          <w:color w:val="000000"/>
          <w:kern w:val="0"/>
          <w:sz w:val="32"/>
          <w:szCs w:val="32"/>
          <w:highlight w:val="none"/>
          <w:u w:val="none"/>
          <w:lang w:val="en-US" w:eastAsia="zh-CN" w:bidi="ar-SA"/>
        </w:rPr>
        <w:t>选人应认真核对账户信息，将</w:t>
      </w:r>
      <w:r>
        <w:rPr>
          <w:rFonts w:hint="eastAsia" w:ascii="仿宋" w:hAnsi="仿宋" w:eastAsia="仿宋" w:cs="Times New Roman"/>
          <w:b w:val="0"/>
          <w:bCs w:val="0"/>
          <w:color w:val="000000"/>
          <w:kern w:val="0"/>
          <w:sz w:val="32"/>
          <w:szCs w:val="32"/>
          <w:highlight w:val="none"/>
          <w:u w:val="none"/>
          <w:lang w:val="en-US" w:eastAsia="zh-CN" w:bidi="ar-SA"/>
        </w:rPr>
        <w:t>履约</w:t>
      </w:r>
      <w:r>
        <w:rPr>
          <w:rFonts w:hint="default" w:ascii="仿宋" w:hAnsi="仿宋" w:eastAsia="仿宋" w:cs="Times New Roman"/>
          <w:b w:val="0"/>
          <w:bCs w:val="0"/>
          <w:color w:val="000000"/>
          <w:kern w:val="0"/>
          <w:sz w:val="32"/>
          <w:szCs w:val="32"/>
          <w:highlight w:val="none"/>
          <w:u w:val="none"/>
          <w:lang w:val="en-US" w:eastAsia="zh-CN" w:bidi="ar-SA"/>
        </w:rPr>
        <w:t>保证金汇入以上账户，并自行承担因汇错</w:t>
      </w:r>
      <w:r>
        <w:rPr>
          <w:rFonts w:hint="eastAsia" w:ascii="仿宋" w:hAnsi="仿宋" w:eastAsia="仿宋" w:cs="Times New Roman"/>
          <w:b w:val="0"/>
          <w:bCs w:val="0"/>
          <w:color w:val="000000"/>
          <w:kern w:val="0"/>
          <w:sz w:val="32"/>
          <w:szCs w:val="32"/>
          <w:highlight w:val="none"/>
          <w:u w:val="none"/>
          <w:lang w:val="en-US" w:eastAsia="zh-CN" w:bidi="ar-SA"/>
        </w:rPr>
        <w:t>履约</w:t>
      </w:r>
      <w:r>
        <w:rPr>
          <w:rFonts w:hint="default" w:ascii="仿宋" w:hAnsi="仿宋" w:eastAsia="仿宋" w:cs="Times New Roman"/>
          <w:b w:val="0"/>
          <w:bCs w:val="0"/>
          <w:color w:val="000000"/>
          <w:kern w:val="0"/>
          <w:sz w:val="32"/>
          <w:szCs w:val="32"/>
          <w:highlight w:val="none"/>
          <w:u w:val="none"/>
          <w:lang w:val="en-US" w:eastAsia="zh-CN" w:bidi="ar-SA"/>
        </w:rPr>
        <w:t>保证金而产生的一切后果。</w:t>
      </w:r>
      <w:r>
        <w:rPr>
          <w:rFonts w:hint="eastAsia" w:ascii="仿宋" w:hAnsi="仿宋" w:eastAsia="仿宋" w:cs="Times New Roman"/>
          <w:b w:val="0"/>
          <w:bCs w:val="0"/>
          <w:color w:val="000000"/>
          <w:kern w:val="0"/>
          <w:sz w:val="32"/>
          <w:szCs w:val="32"/>
          <w:highlight w:val="none"/>
          <w:u w:val="none"/>
          <w:lang w:val="en-US" w:eastAsia="zh-CN" w:bidi="ar-SA"/>
        </w:rPr>
        <w:t>中</w:t>
      </w:r>
      <w:r>
        <w:rPr>
          <w:rFonts w:hint="default" w:ascii="仿宋" w:hAnsi="仿宋" w:eastAsia="仿宋" w:cs="Times New Roman"/>
          <w:b w:val="0"/>
          <w:bCs w:val="0"/>
          <w:color w:val="000000"/>
          <w:kern w:val="0"/>
          <w:sz w:val="32"/>
          <w:szCs w:val="32"/>
          <w:highlight w:val="none"/>
          <w:u w:val="none"/>
          <w:lang w:val="en-US" w:eastAsia="zh-CN" w:bidi="ar-SA"/>
        </w:rPr>
        <w:t>选人在转账或电汇的凭证上应按照</w:t>
      </w:r>
      <w:r>
        <w:rPr>
          <w:rFonts w:hint="eastAsia" w:ascii="仿宋" w:hAnsi="仿宋" w:eastAsia="仿宋" w:cs="Times New Roman"/>
          <w:b w:val="0"/>
          <w:bCs w:val="0"/>
          <w:color w:val="000000"/>
          <w:kern w:val="0"/>
          <w:sz w:val="32"/>
          <w:szCs w:val="32"/>
          <w:highlight w:val="none"/>
          <w:u w:val="none"/>
          <w:lang w:val="en-US" w:eastAsia="zh-CN" w:bidi="ar-SA"/>
        </w:rPr>
        <w:t>“</w:t>
      </w:r>
      <w:r>
        <w:rPr>
          <w:rFonts w:hint="default" w:ascii="仿宋" w:hAnsi="仿宋" w:eastAsia="仿宋" w:cs="Times New Roman"/>
          <w:b w:val="0"/>
          <w:bCs w:val="0"/>
          <w:color w:val="000000"/>
          <w:kern w:val="0"/>
          <w:sz w:val="32"/>
          <w:szCs w:val="32"/>
          <w:highlight w:val="none"/>
          <w:u w:val="none"/>
          <w:lang w:val="en-US" w:eastAsia="zh-CN" w:bidi="ar-SA"/>
        </w:rPr>
        <w:t>（项目名称：***）的</w:t>
      </w:r>
      <w:r>
        <w:rPr>
          <w:rFonts w:hint="eastAsia" w:ascii="仿宋" w:hAnsi="仿宋" w:eastAsia="仿宋" w:cs="Times New Roman"/>
          <w:b w:val="0"/>
          <w:bCs w:val="0"/>
          <w:color w:val="000000"/>
          <w:kern w:val="0"/>
          <w:sz w:val="32"/>
          <w:szCs w:val="32"/>
          <w:highlight w:val="none"/>
          <w:u w:val="none"/>
          <w:lang w:val="en-US" w:eastAsia="zh-CN" w:bidi="ar-SA"/>
        </w:rPr>
        <w:t>履约</w:t>
      </w:r>
      <w:r>
        <w:rPr>
          <w:rFonts w:hint="default" w:ascii="仿宋" w:hAnsi="仿宋" w:eastAsia="仿宋" w:cs="Times New Roman"/>
          <w:b w:val="0"/>
          <w:bCs w:val="0"/>
          <w:color w:val="000000"/>
          <w:kern w:val="0"/>
          <w:sz w:val="32"/>
          <w:szCs w:val="32"/>
          <w:highlight w:val="none"/>
          <w:u w:val="none"/>
          <w:lang w:val="en-US" w:eastAsia="zh-CN" w:bidi="ar-SA"/>
        </w:rPr>
        <w:t>保证金”格式注明，以便核对</w:t>
      </w:r>
      <w:r>
        <w:rPr>
          <w:rFonts w:hint="eastAsia" w:ascii="仿宋" w:hAnsi="仿宋" w:eastAsia="仿宋" w:cs="Times New Roman"/>
          <w:b w:val="0"/>
          <w:bCs w:val="0"/>
          <w:color w:val="000000"/>
          <w:kern w:val="0"/>
          <w:sz w:val="32"/>
          <w:szCs w:val="32"/>
          <w:highlight w:val="none"/>
          <w:u w:val="none"/>
          <w:lang w:val="en-US" w:eastAsia="zh-CN" w:bidi="ar-SA"/>
        </w:rPr>
        <w:t>。</w:t>
      </w:r>
    </w:p>
    <w:p w14:paraId="3D06B427">
      <w:pPr>
        <w:pageBreakBefore w:val="0"/>
        <w:widowControl w:val="0"/>
        <w:shd w:val="clear"/>
        <w:kinsoku/>
        <w:overflowPunct/>
        <w:topLinePunct w:val="0"/>
        <w:autoSpaceDE/>
        <w:bidi w:val="0"/>
        <w:snapToGrid w:val="0"/>
        <w:spacing w:beforeAutospacing="0" w:afterAutospacing="0" w:line="560" w:lineRule="exact"/>
        <w:ind w:firstLine="643" w:firstLineChars="200"/>
        <w:textAlignment w:val="auto"/>
        <w:rPr>
          <w:rFonts w:hint="eastAsia" w:ascii="黑体" w:hAnsi="黑体" w:eastAsia="黑体" w:cs="黑体"/>
          <w:b/>
          <w:bCs/>
          <w:color w:val="auto"/>
          <w:kern w:val="2"/>
          <w:sz w:val="32"/>
          <w:szCs w:val="32"/>
          <w:highlight w:val="none"/>
        </w:rPr>
      </w:pPr>
      <w:r>
        <w:rPr>
          <w:rFonts w:hint="eastAsia" w:ascii="黑体" w:hAnsi="黑体" w:eastAsia="黑体" w:cs="黑体"/>
          <w:b/>
          <w:bCs/>
          <w:color w:val="auto"/>
          <w:sz w:val="32"/>
          <w:szCs w:val="32"/>
          <w:highlight w:val="none"/>
        </w:rPr>
        <w:t>七、参选方式及其他注意事项</w:t>
      </w:r>
    </w:p>
    <w:p w14:paraId="10CA7683">
      <w:pPr>
        <w:pageBreakBefore w:val="0"/>
        <w:widowControl w:val="0"/>
        <w:shd w:val="clear"/>
        <w:kinsoku/>
        <w:overflowPunct/>
        <w:topLinePunct w:val="0"/>
        <w:autoSpaceDE/>
        <w:bidi w:val="0"/>
        <w:snapToGrid w:val="0"/>
        <w:spacing w:beforeAutospacing="0" w:afterAutospacing="0" w:line="560" w:lineRule="exact"/>
        <w:ind w:firstLine="640" w:firstLineChars="200"/>
        <w:jc w:val="both"/>
        <w:textAlignment w:val="auto"/>
        <w:outlineLvl w:val="0"/>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1.参选方式：参选人可通过直接送达、邮寄方式投递参选件参与比选</w:t>
      </w:r>
      <w:r>
        <w:rPr>
          <w:rFonts w:hint="eastAsia" w:ascii="仿宋" w:hAnsi="仿宋" w:eastAsia="仿宋" w:cs="Times New Roman"/>
          <w:b/>
          <w:bCs/>
          <w:color w:val="000000"/>
          <w:kern w:val="0"/>
          <w:sz w:val="32"/>
          <w:szCs w:val="32"/>
          <w:highlight w:val="none"/>
          <w:u w:val="none"/>
          <w:lang w:val="en-US" w:eastAsia="zh-CN" w:bidi="ar-SA"/>
        </w:rPr>
        <w:t>。</w:t>
      </w:r>
    </w:p>
    <w:p w14:paraId="05FB1572">
      <w:pPr>
        <w:pageBreakBefore w:val="0"/>
        <w:widowControl w:val="0"/>
        <w:shd w:val="clear"/>
        <w:kinsoku/>
        <w:overflowPunct/>
        <w:topLinePunct w:val="0"/>
        <w:autoSpaceDE/>
        <w:bidi w:val="0"/>
        <w:snapToGrid w:val="0"/>
        <w:spacing w:beforeAutospacing="0" w:afterAutospacing="0" w:line="560" w:lineRule="exact"/>
        <w:ind w:firstLine="640" w:firstLineChars="200"/>
        <w:jc w:val="both"/>
        <w:textAlignment w:val="auto"/>
        <w:outlineLvl w:val="0"/>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2.本项目不接受联合体参与比选，不得分包。</w:t>
      </w:r>
    </w:p>
    <w:p w14:paraId="7C26C6A3">
      <w:pPr>
        <w:pageBreakBefore w:val="0"/>
        <w:widowControl w:val="0"/>
        <w:shd w:val="clear"/>
        <w:kinsoku/>
        <w:overflowPunct/>
        <w:topLinePunct w:val="0"/>
        <w:autoSpaceDE/>
        <w:bidi w:val="0"/>
        <w:snapToGrid w:val="0"/>
        <w:spacing w:beforeAutospacing="0" w:afterAutospacing="0" w:line="560" w:lineRule="exact"/>
        <w:ind w:firstLine="640" w:firstLineChars="200"/>
        <w:jc w:val="both"/>
        <w:textAlignment w:val="auto"/>
        <w:outlineLvl w:val="0"/>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3.参选件报送截止时间：2025年3月7日9:00，以采购人收到参选件为准。</w:t>
      </w:r>
      <w:r>
        <w:rPr>
          <w:rFonts w:hint="eastAsia" w:ascii="仿宋" w:hAnsi="仿宋" w:eastAsia="仿宋" w:cs="Times New Roman"/>
          <w:b/>
          <w:bCs/>
          <w:color w:val="000000"/>
          <w:kern w:val="0"/>
          <w:sz w:val="32"/>
          <w:szCs w:val="32"/>
          <w:highlight w:val="none"/>
          <w:u w:val="none"/>
          <w:lang w:val="en-US" w:eastAsia="zh-CN" w:bidi="ar-SA"/>
        </w:rPr>
        <w:t>逾期无效。</w:t>
      </w:r>
    </w:p>
    <w:p w14:paraId="15AEB015">
      <w:pPr>
        <w:pageBreakBefore w:val="0"/>
        <w:widowControl w:val="0"/>
        <w:shd w:val="clear"/>
        <w:kinsoku/>
        <w:overflowPunct/>
        <w:topLinePunct w:val="0"/>
        <w:autoSpaceDE/>
        <w:bidi w:val="0"/>
        <w:snapToGrid w:val="0"/>
        <w:spacing w:beforeAutospacing="0" w:afterAutospacing="0" w:line="560" w:lineRule="exact"/>
        <w:ind w:firstLine="640" w:firstLineChars="200"/>
        <w:jc w:val="both"/>
        <w:textAlignment w:val="auto"/>
        <w:outlineLvl w:val="0"/>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4.中选人收到采购人中选通知后，应在3个工作日内提供合同版本，签订采购合同。</w:t>
      </w:r>
    </w:p>
    <w:p w14:paraId="260CA355">
      <w:pPr>
        <w:pageBreakBefore w:val="0"/>
        <w:widowControl w:val="0"/>
        <w:shd w:val="clear"/>
        <w:kinsoku/>
        <w:overflowPunct/>
        <w:topLinePunct w:val="0"/>
        <w:autoSpaceDE/>
        <w:bidi w:val="0"/>
        <w:snapToGrid w:val="0"/>
        <w:spacing w:beforeAutospacing="0" w:afterAutospacing="0" w:line="560" w:lineRule="exact"/>
        <w:ind w:firstLine="640" w:firstLineChars="200"/>
        <w:jc w:val="both"/>
        <w:textAlignment w:val="auto"/>
        <w:outlineLvl w:val="0"/>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5.合同履行期间，中选人的人员和财产安全自行负责。</w:t>
      </w:r>
    </w:p>
    <w:p w14:paraId="40CC6E5A">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default"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6.联系人：吕昌浩   电话：15806022336</w:t>
      </w:r>
    </w:p>
    <w:p w14:paraId="1D7F6393">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 xml:space="preserve">7.通讯地址：福建省莆田市荔城区荔园中路海峡商务中心B栋20层航道站 </w:t>
      </w:r>
    </w:p>
    <w:p w14:paraId="7F95B272">
      <w:pPr>
        <w:pageBreakBefore w:val="0"/>
        <w:widowControl w:val="0"/>
        <w:shd w:val="clear"/>
        <w:kinsoku/>
        <w:overflowPunct/>
        <w:topLinePunct w:val="0"/>
        <w:autoSpaceDE/>
        <w:bidi w:val="0"/>
        <w:snapToGrid w:val="0"/>
        <w:spacing w:beforeAutospacing="0" w:afterAutospacing="0" w:line="560" w:lineRule="exact"/>
        <w:ind w:firstLine="627" w:firstLineChars="196"/>
        <w:textAlignment w:val="auto"/>
        <w:rPr>
          <w:rFonts w:hint="eastAsia" w:ascii="黑体" w:hAnsi="黑体" w:eastAsia="黑体" w:cs="黑体"/>
          <w:b w:val="0"/>
          <w:bCs w:val="0"/>
          <w:color w:val="000000"/>
          <w:kern w:val="0"/>
          <w:sz w:val="32"/>
          <w:szCs w:val="32"/>
          <w:highlight w:val="none"/>
          <w:u w:val="none"/>
          <w:lang w:val="en-US" w:eastAsia="zh-CN" w:bidi="ar-SA"/>
        </w:rPr>
      </w:pPr>
      <w:r>
        <w:rPr>
          <w:rFonts w:hint="eastAsia" w:ascii="黑体" w:hAnsi="黑体" w:eastAsia="黑体" w:cs="黑体"/>
          <w:b w:val="0"/>
          <w:bCs w:val="0"/>
          <w:color w:val="000000"/>
          <w:kern w:val="0"/>
          <w:sz w:val="32"/>
          <w:szCs w:val="32"/>
          <w:highlight w:val="none"/>
          <w:u w:val="none"/>
          <w:lang w:val="en-US" w:eastAsia="zh-CN" w:bidi="ar-SA"/>
        </w:rPr>
        <w:t>八、开启时间及地点</w:t>
      </w:r>
    </w:p>
    <w:p w14:paraId="5E67FBB1">
      <w:pPr>
        <w:pStyle w:val="6"/>
        <w:pageBreakBefore w:val="0"/>
        <w:shd w:val="clear"/>
        <w:kinsoku/>
        <w:wordWrap w:val="0"/>
        <w:overflowPunct/>
        <w:topLinePunct w:val="0"/>
        <w:autoSpaceDE/>
        <w:bidi w:val="0"/>
        <w:snapToGrid w:val="0"/>
        <w:spacing w:before="0" w:beforeAutospacing="0" w:after="0" w:afterAutospacing="0" w:line="560" w:lineRule="exact"/>
        <w:textAlignment w:val="auto"/>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　　1.开启时间：2025年3月7日9:00。</w:t>
      </w:r>
    </w:p>
    <w:p w14:paraId="0F663FAF">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eastAsia" w:ascii="仿宋" w:hAnsi="仿宋" w:eastAsia="仿宋" w:cs="Times New Roman"/>
          <w:b w:val="0"/>
          <w:bCs w:val="0"/>
          <w:color w:val="000000"/>
          <w:kern w:val="0"/>
          <w:sz w:val="32"/>
          <w:szCs w:val="32"/>
          <w:highlight w:val="none"/>
          <w:u w:val="none"/>
          <w:lang w:val="en-US" w:eastAsia="zh-CN" w:bidi="ar-SA"/>
        </w:rPr>
      </w:pPr>
      <w:r>
        <w:rPr>
          <w:rFonts w:hint="eastAsia" w:ascii="仿宋" w:hAnsi="仿宋" w:eastAsia="仿宋" w:cs="Times New Roman"/>
          <w:b w:val="0"/>
          <w:bCs w:val="0"/>
          <w:color w:val="000000"/>
          <w:kern w:val="0"/>
          <w:sz w:val="32"/>
          <w:szCs w:val="32"/>
          <w:highlight w:val="none"/>
          <w:u w:val="none"/>
          <w:lang w:val="en-US" w:eastAsia="zh-CN" w:bidi="ar-SA"/>
        </w:rPr>
        <w:t xml:space="preserve">2.地点：福建省莆田市荔城区荔园中路海峡商务中心B栋20层第二会议室 </w:t>
      </w:r>
    </w:p>
    <w:p w14:paraId="7F8DB79F">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黑体" w:hAnsi="黑体" w:eastAsia="黑体" w:cs="黑体"/>
          <w:b/>
          <w:color w:val="auto"/>
          <w:sz w:val="31"/>
          <w:szCs w:val="31"/>
          <w:highlight w:val="none"/>
          <w:lang w:val="en-US" w:eastAsia="zh-CN"/>
        </w:rPr>
      </w:pPr>
    </w:p>
    <w:p w14:paraId="60BD17B2">
      <w:pPr>
        <w:pStyle w:val="7"/>
        <w:keepNext w:val="0"/>
        <w:keepLines w:val="0"/>
        <w:pageBreakBefore w:val="0"/>
        <w:shd w:val="clear"/>
        <w:kinsoku/>
        <w:wordWrap/>
        <w:overflowPunct/>
        <w:topLinePunct w:val="0"/>
        <w:autoSpaceDE/>
        <w:autoSpaceDN/>
        <w:bidi w:val="0"/>
        <w:snapToGrid w:val="0"/>
        <w:spacing w:beforeAutospacing="0" w:afterAutospacing="0" w:line="560" w:lineRule="exact"/>
        <w:ind w:left="0" w:leftChars="0" w:firstLine="700" w:firstLineChars="0"/>
        <w:textAlignment w:val="auto"/>
        <w:rPr>
          <w:rFonts w:hint="eastAsia" w:ascii="黑体" w:hAnsi="黑体" w:eastAsia="黑体" w:cs="黑体"/>
          <w:b/>
          <w:color w:val="auto"/>
          <w:sz w:val="31"/>
          <w:szCs w:val="31"/>
          <w:highlight w:val="none"/>
          <w:lang w:val="en-US" w:eastAsia="zh-CN"/>
        </w:rPr>
      </w:pPr>
    </w:p>
    <w:p w14:paraId="43AAF24F">
      <w:pPr>
        <w:keepNext w:val="0"/>
        <w:keepLines w:val="0"/>
        <w:pageBreakBefore w:val="0"/>
        <w:widowControl/>
        <w:shd w:val="clear" w:color="auto"/>
        <w:kinsoku/>
        <w:wordWrap/>
        <w:overflowPunct/>
        <w:topLinePunct w:val="0"/>
        <w:autoSpaceDE/>
        <w:autoSpaceDN/>
        <w:bidi w:val="0"/>
        <w:adjustRightInd/>
        <w:snapToGrid w:val="0"/>
        <w:spacing w:beforeAutospacing="0" w:afterAutospacing="0" w:line="560" w:lineRule="exact"/>
        <w:ind w:left="0" w:leftChars="0" w:firstLine="4680" w:firstLineChars="0"/>
        <w:jc w:val="center"/>
        <w:textAlignment w:val="auto"/>
        <w:rPr>
          <w:rFonts w:hint="eastAsia" w:ascii="仿宋" w:hAnsi="仿宋" w:eastAsia="仿宋" w:cs="Times New Roman"/>
          <w:color w:val="000000"/>
          <w:kern w:val="0"/>
          <w:sz w:val="32"/>
          <w:szCs w:val="32"/>
          <w:highlight w:val="none"/>
          <w:lang w:val="en-US" w:eastAsia="zh-CN" w:bidi="ar-SA"/>
        </w:rPr>
      </w:pPr>
    </w:p>
    <w:p w14:paraId="0521F6EC">
      <w:pPr>
        <w:keepNext w:val="0"/>
        <w:keepLines w:val="0"/>
        <w:pageBreakBefore w:val="0"/>
        <w:widowControl/>
        <w:shd w:val="clear" w:color="auto"/>
        <w:kinsoku/>
        <w:wordWrap/>
        <w:overflowPunct/>
        <w:topLinePunct w:val="0"/>
        <w:autoSpaceDE/>
        <w:autoSpaceDN/>
        <w:bidi w:val="0"/>
        <w:adjustRightInd/>
        <w:snapToGrid w:val="0"/>
        <w:spacing w:beforeAutospacing="0" w:afterAutospacing="0" w:line="560" w:lineRule="exact"/>
        <w:ind w:left="0" w:leftChars="0" w:firstLine="3398" w:firstLineChars="1062"/>
        <w:jc w:val="center"/>
        <w:textAlignment w:val="auto"/>
        <w:rPr>
          <w:rFonts w:hint="default" w:ascii="仿宋" w:hAnsi="仿宋" w:eastAsia="仿宋" w:cs="Times New Roman"/>
          <w:color w:val="000000"/>
          <w:kern w:val="0"/>
          <w:sz w:val="32"/>
          <w:szCs w:val="32"/>
          <w:highlight w:val="none"/>
          <w:lang w:val="en-US" w:eastAsia="zh-CN" w:bidi="ar-SA"/>
        </w:rPr>
      </w:pPr>
      <w:r>
        <w:rPr>
          <w:rFonts w:hint="eastAsia" w:ascii="仿宋" w:hAnsi="仿宋" w:eastAsia="仿宋" w:cs="Times New Roman"/>
          <w:color w:val="000000"/>
          <w:kern w:val="0"/>
          <w:sz w:val="32"/>
          <w:szCs w:val="32"/>
          <w:highlight w:val="none"/>
          <w:lang w:val="en-US" w:eastAsia="zh-CN" w:bidi="ar-SA"/>
        </w:rPr>
        <w:t>福建省湄洲湾港口管理局航道管理站</w:t>
      </w:r>
    </w:p>
    <w:p w14:paraId="595F800B">
      <w:pPr>
        <w:pStyle w:val="3"/>
        <w:pageBreakBefore w:val="0"/>
        <w:shd w:val="clear"/>
        <w:kinsoku/>
        <w:overflowPunct/>
        <w:topLinePunct w:val="0"/>
        <w:autoSpaceDE/>
        <w:bidi w:val="0"/>
        <w:snapToGrid w:val="0"/>
        <w:spacing w:before="0" w:beforeLines="0" w:beforeAutospacing="0" w:after="0" w:afterLines="0" w:afterAutospacing="0" w:line="560" w:lineRule="exact"/>
        <w:ind w:left="0" w:leftChars="0" w:firstLine="3398" w:firstLineChars="1062"/>
        <w:jc w:val="center"/>
        <w:textAlignment w:val="auto"/>
        <w:rPr>
          <w:rFonts w:hint="eastAsia" w:ascii="仿宋" w:hAnsi="仿宋" w:eastAsia="仿宋" w:cs="Times New Roman"/>
          <w:b w:val="0"/>
          <w:color w:val="000000"/>
          <w:kern w:val="0"/>
          <w:sz w:val="32"/>
          <w:szCs w:val="32"/>
          <w:highlight w:val="none"/>
          <w:lang w:val="en-US" w:eastAsia="zh-CN" w:bidi="ar-SA"/>
        </w:rPr>
      </w:pPr>
      <w:r>
        <w:rPr>
          <w:rFonts w:hint="eastAsia" w:ascii="仿宋" w:hAnsi="仿宋" w:eastAsia="仿宋" w:cs="Times New Roman"/>
          <w:b w:val="0"/>
          <w:color w:val="000000"/>
          <w:kern w:val="0"/>
          <w:sz w:val="32"/>
          <w:szCs w:val="32"/>
          <w:highlight w:val="none"/>
          <w:lang w:val="en-US" w:eastAsia="zh-CN" w:bidi="ar-SA"/>
        </w:rPr>
        <w:t>2025年3月3日</w:t>
      </w:r>
    </w:p>
    <w:p w14:paraId="46254956">
      <w:pPr>
        <w:pStyle w:val="2"/>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68F02A3E">
      <w:pPr>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42E27A01">
      <w:pPr>
        <w:pStyle w:val="2"/>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6E42557C">
      <w:pPr>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35039707">
      <w:pPr>
        <w:pStyle w:val="2"/>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242EBBB7">
      <w:pPr>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73AE8A93">
      <w:pPr>
        <w:pStyle w:val="2"/>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09595143">
      <w:pPr>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sectPr>
          <w:footerReference r:id="rId3" w:type="default"/>
          <w:pgSz w:w="11906" w:h="16838"/>
          <w:pgMar w:top="1440" w:right="1474" w:bottom="1440" w:left="1587" w:header="851" w:footer="992" w:gutter="0"/>
          <w:pgNumType w:fmt="decimal"/>
          <w:cols w:space="0" w:num="1"/>
          <w:rtlGutter w:val="0"/>
          <w:docGrid w:type="lines" w:linePitch="312" w:charSpace="0"/>
        </w:sectPr>
      </w:pPr>
    </w:p>
    <w:p w14:paraId="668591CF">
      <w:pPr>
        <w:pageBreakBefore w:val="0"/>
        <w:shd w:val="solid" w:color="FFFFFF"/>
        <w:kinsoku/>
        <w:overflowPunct/>
        <w:topLinePunct w:val="0"/>
        <w:autoSpaceDE/>
        <w:autoSpaceDN w:val="0"/>
        <w:bidi w:val="0"/>
        <w:snapToGrid w:val="0"/>
        <w:spacing w:beforeAutospacing="0" w:afterAutospacing="0" w:line="560" w:lineRule="exact"/>
        <w:textAlignment w:val="auto"/>
        <w:rPr>
          <w:color w:val="auto"/>
          <w:highlight w:val="none"/>
        </w:rPr>
      </w:pPr>
      <w:r>
        <w:rPr>
          <w:rFonts w:hint="eastAsia" w:ascii="宋体" w:hAnsi="宋体" w:eastAsia="宋体" w:cs="宋体"/>
          <w:bCs/>
          <w:color w:val="auto"/>
          <w:sz w:val="24"/>
          <w:highlight w:val="none"/>
          <w:shd w:val="clear" w:color="auto" w:fill="FFFFFF"/>
          <w:lang w:eastAsia="zh-CN"/>
        </w:rPr>
        <w:t>附</w:t>
      </w:r>
      <w:r>
        <w:rPr>
          <w:rFonts w:hint="eastAsia" w:ascii="宋体" w:hAnsi="宋体" w:eastAsia="宋体" w:cs="宋体"/>
          <w:bCs/>
          <w:color w:val="auto"/>
          <w:sz w:val="24"/>
          <w:highlight w:val="none"/>
          <w:shd w:val="clear" w:color="auto" w:fill="FFFFFF"/>
        </w:rPr>
        <w:t>件1</w:t>
      </w:r>
      <w:r>
        <w:rPr>
          <w:color w:val="auto"/>
          <w:highlight w:val="none"/>
        </w:rPr>
        <w:t xml:space="preserve"> </w:t>
      </w:r>
    </w:p>
    <w:tbl>
      <w:tblPr>
        <w:tblStyle w:val="8"/>
        <w:tblpPr w:leftFromText="180" w:rightFromText="180" w:vertAnchor="text" w:horzAnchor="page" w:tblpX="1210" w:tblpY="680"/>
        <w:tblOverlap w:val="never"/>
        <w:tblW w:w="5000" w:type="pct"/>
        <w:tblInd w:w="0" w:type="dxa"/>
        <w:shd w:val="clear" w:color="auto" w:fill="auto"/>
        <w:tblLayout w:type="autofit"/>
        <w:tblCellMar>
          <w:top w:w="0" w:type="dxa"/>
          <w:left w:w="108" w:type="dxa"/>
          <w:bottom w:w="0" w:type="dxa"/>
          <w:right w:w="108" w:type="dxa"/>
        </w:tblCellMar>
      </w:tblPr>
      <w:tblGrid>
        <w:gridCol w:w="646"/>
        <w:gridCol w:w="4816"/>
        <w:gridCol w:w="2276"/>
        <w:gridCol w:w="3813"/>
        <w:gridCol w:w="2623"/>
      </w:tblGrid>
      <w:tr w14:paraId="0FBA69E4">
        <w:tblPrEx>
          <w:shd w:val="clear" w:color="auto" w:fill="auto"/>
          <w:tblCellMar>
            <w:top w:w="0" w:type="dxa"/>
            <w:left w:w="108" w:type="dxa"/>
            <w:bottom w:w="0" w:type="dxa"/>
            <w:right w:w="108" w:type="dxa"/>
          </w:tblCellMar>
        </w:tblPrEx>
        <w:trPr>
          <w:trHeight w:val="1093" w:hRule="atLeast"/>
        </w:trPr>
        <w:tc>
          <w:tcPr>
            <w:tcW w:w="5000" w:type="pct"/>
            <w:gridSpan w:val="5"/>
            <w:tcBorders>
              <w:top w:val="nil"/>
              <w:left w:val="nil"/>
              <w:bottom w:val="nil"/>
              <w:right w:val="nil"/>
            </w:tcBorders>
            <w:shd w:val="clear" w:color="auto" w:fill="auto"/>
            <w:vAlign w:val="center"/>
          </w:tcPr>
          <w:p w14:paraId="13FE2E14">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jc w:val="center"/>
              <w:textAlignment w:val="auto"/>
              <w:rPr>
                <w:rFonts w:hint="eastAsia" w:ascii="宋体" w:hAnsi="宋体" w:eastAsia="宋体" w:cs="宋体"/>
                <w:b/>
                <w:bCs/>
                <w:color w:val="auto"/>
                <w:kern w:val="2"/>
                <w:sz w:val="28"/>
                <w:szCs w:val="32"/>
                <w:highlight w:val="none"/>
                <w:lang w:val="en-US" w:eastAsia="zh-CN" w:bidi="ar-SA"/>
              </w:rPr>
            </w:pPr>
            <w:r>
              <w:rPr>
                <w:rFonts w:hint="eastAsia" w:ascii="宋体" w:hAnsi="宋体" w:eastAsia="宋体" w:cs="宋体"/>
                <w:b/>
                <w:bCs/>
                <w:color w:val="auto"/>
                <w:kern w:val="2"/>
                <w:sz w:val="28"/>
                <w:szCs w:val="32"/>
                <w:highlight w:val="none"/>
                <w:lang w:val="en-US" w:eastAsia="zh-CN" w:bidi="ar-SA"/>
              </w:rPr>
              <w:t>湄洲湾航道二期工程项目竣工财务决算审计服务采购服务</w:t>
            </w:r>
          </w:p>
          <w:p w14:paraId="5649FF9C">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jc w:val="center"/>
              <w:textAlignment w:val="auto"/>
              <w:rPr>
                <w:rFonts w:hint="eastAsia" w:ascii="宋体" w:hAnsi="宋体" w:eastAsia="宋体" w:cs="宋体"/>
                <w:b/>
                <w:bCs/>
                <w:color w:val="auto"/>
                <w:kern w:val="2"/>
                <w:sz w:val="28"/>
                <w:szCs w:val="32"/>
                <w:highlight w:val="none"/>
                <w:lang w:val="en-US" w:eastAsia="zh-CN" w:bidi="ar-SA"/>
              </w:rPr>
            </w:pPr>
            <w:r>
              <w:rPr>
                <w:rFonts w:hint="eastAsia" w:ascii="宋体" w:hAnsi="宋体" w:eastAsia="宋体" w:cs="宋体"/>
                <w:b/>
                <w:bCs/>
                <w:color w:val="auto"/>
                <w:kern w:val="2"/>
                <w:sz w:val="28"/>
                <w:szCs w:val="32"/>
                <w:highlight w:val="none"/>
                <w:lang w:val="en-US" w:eastAsia="zh-CN" w:bidi="ar-SA"/>
              </w:rPr>
              <w:t>参选报价单</w:t>
            </w:r>
          </w:p>
        </w:tc>
      </w:tr>
      <w:tr w14:paraId="3D59FA8C">
        <w:tblPrEx>
          <w:tblCellMar>
            <w:top w:w="0" w:type="dxa"/>
            <w:left w:w="108" w:type="dxa"/>
            <w:bottom w:w="0" w:type="dxa"/>
            <w:right w:w="108" w:type="dxa"/>
          </w:tblCellMar>
        </w:tblPrEx>
        <w:trPr>
          <w:trHeight w:val="480" w:hRule="atLeast"/>
        </w:trPr>
        <w:tc>
          <w:tcPr>
            <w:tcW w:w="5000" w:type="pct"/>
            <w:gridSpan w:val="5"/>
            <w:tcBorders>
              <w:top w:val="nil"/>
              <w:left w:val="nil"/>
              <w:bottom w:val="single" w:color="000000" w:sz="8" w:space="0"/>
              <w:right w:val="nil"/>
            </w:tcBorders>
            <w:shd w:val="clear" w:color="auto" w:fill="auto"/>
            <w:vAlign w:val="center"/>
          </w:tcPr>
          <w:p w14:paraId="37277701">
            <w:pPr>
              <w:pageBreakBefore w:val="0"/>
              <w:shd w:val="clear"/>
              <w:kinsoku/>
              <w:overflowPunct/>
              <w:topLinePunct w:val="0"/>
              <w:autoSpaceDE/>
              <w:bidi w:val="0"/>
              <w:adjustRightInd/>
              <w:snapToGrid w:val="0"/>
              <w:spacing w:beforeAutospacing="0" w:afterAutospacing="0" w:line="560" w:lineRule="exact"/>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单位：人民币元</w:t>
            </w:r>
          </w:p>
        </w:tc>
      </w:tr>
      <w:tr w14:paraId="1EC8E93B">
        <w:tblPrEx>
          <w:tblCellMar>
            <w:top w:w="0" w:type="dxa"/>
            <w:left w:w="108" w:type="dxa"/>
            <w:bottom w:w="0" w:type="dxa"/>
            <w:right w:w="108" w:type="dxa"/>
          </w:tblCellMar>
        </w:tblPrEx>
        <w:trPr>
          <w:trHeight w:val="628" w:hRule="atLeast"/>
        </w:trPr>
        <w:tc>
          <w:tcPr>
            <w:tcW w:w="228" w:type="pct"/>
            <w:tcBorders>
              <w:top w:val="single" w:color="000000" w:sz="8" w:space="0"/>
              <w:left w:val="single" w:color="000000" w:sz="8" w:space="0"/>
              <w:bottom w:val="nil"/>
              <w:right w:val="single" w:color="000000" w:sz="8" w:space="0"/>
            </w:tcBorders>
            <w:shd w:val="clear" w:color="auto" w:fill="auto"/>
            <w:vAlign w:val="center"/>
          </w:tcPr>
          <w:p w14:paraId="26CB79DB">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698" w:type="pct"/>
            <w:tcBorders>
              <w:top w:val="single" w:color="000000" w:sz="8" w:space="0"/>
              <w:left w:val="single" w:color="000000" w:sz="8" w:space="0"/>
              <w:bottom w:val="nil"/>
              <w:right w:val="single" w:color="000000" w:sz="8" w:space="0"/>
            </w:tcBorders>
            <w:shd w:val="clear" w:color="auto" w:fill="auto"/>
            <w:vAlign w:val="center"/>
          </w:tcPr>
          <w:p w14:paraId="18A48C57">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项目名称</w:t>
            </w:r>
          </w:p>
        </w:tc>
        <w:tc>
          <w:tcPr>
            <w:tcW w:w="803" w:type="pct"/>
            <w:tcBorders>
              <w:top w:val="single" w:color="000000" w:sz="8" w:space="0"/>
              <w:left w:val="single" w:color="000000" w:sz="8" w:space="0"/>
              <w:bottom w:val="nil"/>
              <w:right w:val="single" w:color="000000" w:sz="8" w:space="0"/>
            </w:tcBorders>
            <w:shd w:val="clear" w:color="auto" w:fill="auto"/>
            <w:vAlign w:val="center"/>
          </w:tcPr>
          <w:p w14:paraId="051A71AB">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价格</w:t>
            </w:r>
          </w:p>
        </w:tc>
        <w:tc>
          <w:tcPr>
            <w:tcW w:w="1345" w:type="pct"/>
            <w:tcBorders>
              <w:top w:val="single" w:color="000000" w:sz="8" w:space="0"/>
              <w:left w:val="single" w:color="000000" w:sz="8" w:space="0"/>
              <w:bottom w:val="nil"/>
              <w:right w:val="single" w:color="000000" w:sz="8" w:space="0"/>
            </w:tcBorders>
            <w:shd w:val="clear" w:color="auto" w:fill="auto"/>
            <w:vAlign w:val="center"/>
          </w:tcPr>
          <w:p w14:paraId="4957702E">
            <w:pPr>
              <w:pageBreakBefore w:val="0"/>
              <w:shd w:val="clear"/>
              <w:kinsoku/>
              <w:overflowPunct/>
              <w:topLinePunct w:val="0"/>
              <w:autoSpaceDE/>
              <w:bidi w:val="0"/>
              <w:adjustRightInd/>
              <w:snapToGrid w:val="0"/>
              <w:spacing w:beforeAutospacing="0" w:afterAutospacing="0" w:line="560" w:lineRule="exact"/>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计算公式</w:t>
            </w:r>
          </w:p>
        </w:tc>
        <w:tc>
          <w:tcPr>
            <w:tcW w:w="923" w:type="pct"/>
            <w:tcBorders>
              <w:top w:val="single" w:color="000000" w:sz="8" w:space="0"/>
              <w:left w:val="single" w:color="000000" w:sz="8" w:space="0"/>
              <w:bottom w:val="nil"/>
              <w:right w:val="single" w:color="000000" w:sz="8" w:space="0"/>
            </w:tcBorders>
            <w:shd w:val="clear" w:color="auto" w:fill="auto"/>
            <w:vAlign w:val="center"/>
          </w:tcPr>
          <w:p w14:paraId="1413D4F0">
            <w:pPr>
              <w:pageBreakBefore w:val="0"/>
              <w:shd w:val="clear"/>
              <w:kinsoku/>
              <w:overflowPunct/>
              <w:topLinePunct w:val="0"/>
              <w:autoSpaceDE/>
              <w:bidi w:val="0"/>
              <w:snapToGrid w:val="0"/>
              <w:spacing w:beforeAutospacing="0" w:afterAutospacing="0" w:line="560" w:lineRule="exact"/>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tc>
      </w:tr>
      <w:tr w14:paraId="0CE441B2">
        <w:tblPrEx>
          <w:tblCellMar>
            <w:top w:w="0" w:type="dxa"/>
            <w:left w:w="108" w:type="dxa"/>
            <w:bottom w:w="0" w:type="dxa"/>
            <w:right w:w="108" w:type="dxa"/>
          </w:tblCellMar>
        </w:tblPrEx>
        <w:trPr>
          <w:trHeight w:val="2240" w:hRule="atLeast"/>
        </w:trPr>
        <w:tc>
          <w:tcPr>
            <w:tcW w:w="2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B8425C">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38B22F">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jc w:val="center"/>
              <w:textAlignment w:val="auto"/>
              <w:rPr>
                <w:rFonts w:hint="eastAsia" w:ascii="宋体" w:hAnsi="宋体" w:eastAsia="宋体" w:cs="宋体"/>
                <w:b/>
                <w:bCs/>
                <w:color w:val="auto"/>
                <w:kern w:val="2"/>
                <w:sz w:val="28"/>
                <w:szCs w:val="32"/>
                <w:highlight w:val="none"/>
                <w:lang w:val="en-US" w:eastAsia="zh-CN" w:bidi="ar-SA"/>
              </w:rPr>
            </w:pPr>
            <w:r>
              <w:rPr>
                <w:rFonts w:hint="eastAsia" w:ascii="宋体" w:hAnsi="宋体" w:eastAsia="宋体" w:cs="宋体"/>
                <w:b/>
                <w:bCs/>
                <w:color w:val="auto"/>
                <w:kern w:val="2"/>
                <w:sz w:val="28"/>
                <w:szCs w:val="32"/>
                <w:highlight w:val="none"/>
                <w:lang w:val="en-US" w:eastAsia="zh-CN" w:bidi="ar-SA"/>
              </w:rPr>
              <w:t>湄洲湾航道二期工程项目竣工</w:t>
            </w:r>
          </w:p>
          <w:p w14:paraId="1F27F329">
            <w:pPr>
              <w:pStyle w:val="6"/>
              <w:keepNext w:val="0"/>
              <w:keepLines w:val="0"/>
              <w:pageBreakBefore w:val="0"/>
              <w:widowControl/>
              <w:shd w:val="clear"/>
              <w:kinsoku/>
              <w:wordWrap/>
              <w:overflowPunct/>
              <w:topLinePunct w:val="0"/>
              <w:autoSpaceDE/>
              <w:autoSpaceDN/>
              <w:bidi w:val="0"/>
              <w:adjustRightInd/>
              <w:snapToGrid w:val="0"/>
              <w:spacing w:before="0" w:beforeAutospacing="0" w:after="0" w:afterAutospacing="0" w:line="560" w:lineRule="exact"/>
              <w:jc w:val="center"/>
              <w:textAlignment w:val="auto"/>
              <w:rPr>
                <w:color w:val="auto"/>
                <w:highlight w:val="none"/>
              </w:rPr>
            </w:pPr>
            <w:r>
              <w:rPr>
                <w:rFonts w:hint="eastAsia" w:ascii="宋体" w:hAnsi="宋体" w:eastAsia="宋体" w:cs="宋体"/>
                <w:b/>
                <w:bCs/>
                <w:color w:val="auto"/>
                <w:kern w:val="2"/>
                <w:sz w:val="28"/>
                <w:szCs w:val="32"/>
                <w:highlight w:val="none"/>
                <w:lang w:val="en-US" w:eastAsia="zh-CN" w:bidi="ar-SA"/>
              </w:rPr>
              <w:t>财务决算审计服务采购服务</w:t>
            </w:r>
            <w:r>
              <w:rPr>
                <w:rFonts w:hint="eastAsia" w:eastAsia="宋体" w:cs="宋体"/>
                <w:b/>
                <w:bCs/>
                <w:color w:val="auto"/>
                <w:kern w:val="2"/>
                <w:sz w:val="28"/>
                <w:szCs w:val="32"/>
                <w:highlight w:val="none"/>
                <w:lang w:val="en-US" w:eastAsia="zh-CN" w:bidi="ar-SA"/>
              </w:rPr>
              <w:t>项目</w:t>
            </w:r>
          </w:p>
        </w:tc>
        <w:tc>
          <w:tcPr>
            <w:tcW w:w="8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4218A">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color w:val="auto"/>
                <w:sz w:val="24"/>
                <w:szCs w:val="24"/>
                <w:highlight w:val="none"/>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89213F">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color w:val="auto"/>
                <w:sz w:val="24"/>
                <w:szCs w:val="24"/>
                <w:highlight w:val="none"/>
              </w:rPr>
            </w:pPr>
          </w:p>
        </w:tc>
        <w:tc>
          <w:tcPr>
            <w:tcW w:w="9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772F8">
            <w:pPr>
              <w:pageBreakBefore w:val="0"/>
              <w:shd w:val="clear"/>
              <w:kinsoku/>
              <w:overflowPunct/>
              <w:topLinePunct w:val="0"/>
              <w:autoSpaceDE/>
              <w:bidi w:val="0"/>
              <w:snapToGrid w:val="0"/>
              <w:spacing w:beforeAutospacing="0" w:afterAutospacing="0" w:line="560" w:lineRule="exact"/>
              <w:jc w:val="center"/>
              <w:textAlignment w:val="auto"/>
              <w:rPr>
                <w:rFonts w:ascii="宋体" w:hAnsi="宋体" w:eastAsia="宋体" w:cs="宋体"/>
                <w:color w:val="auto"/>
                <w:sz w:val="24"/>
                <w:szCs w:val="24"/>
                <w:highlight w:val="none"/>
              </w:rPr>
            </w:pPr>
          </w:p>
        </w:tc>
      </w:tr>
      <w:tr w14:paraId="2D746D4D">
        <w:tblPrEx>
          <w:tblCellMar>
            <w:top w:w="0" w:type="dxa"/>
            <w:left w:w="108" w:type="dxa"/>
            <w:bottom w:w="0" w:type="dxa"/>
            <w:right w:w="108" w:type="dxa"/>
          </w:tblCellMar>
        </w:tblPrEx>
        <w:trPr>
          <w:trHeight w:val="1000" w:hRule="atLeast"/>
        </w:trPr>
        <w:tc>
          <w:tcPr>
            <w:tcW w:w="192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447294">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8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31A55">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color w:val="auto"/>
                <w:sz w:val="24"/>
                <w:szCs w:val="24"/>
                <w:highlight w:val="none"/>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F38694">
            <w:pPr>
              <w:pageBreakBefore w:val="0"/>
              <w:shd w:val="clear"/>
              <w:kinsoku/>
              <w:overflowPunct/>
              <w:topLinePunct w:val="0"/>
              <w:autoSpaceDE/>
              <w:bidi w:val="0"/>
              <w:adjustRightInd/>
              <w:snapToGrid w:val="0"/>
              <w:spacing w:beforeAutospacing="0" w:afterAutospacing="0" w:line="560" w:lineRule="exact"/>
              <w:jc w:val="center"/>
              <w:textAlignment w:val="auto"/>
              <w:rPr>
                <w:rFonts w:ascii="宋体" w:hAnsi="宋体" w:eastAsia="宋体" w:cs="宋体"/>
                <w:color w:val="auto"/>
                <w:sz w:val="24"/>
                <w:szCs w:val="24"/>
                <w:highlight w:val="none"/>
              </w:rPr>
            </w:pPr>
          </w:p>
        </w:tc>
        <w:tc>
          <w:tcPr>
            <w:tcW w:w="9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302DD0">
            <w:pPr>
              <w:pageBreakBefore w:val="0"/>
              <w:shd w:val="clear"/>
              <w:kinsoku/>
              <w:overflowPunct/>
              <w:topLinePunct w:val="0"/>
              <w:autoSpaceDE/>
              <w:bidi w:val="0"/>
              <w:snapToGrid w:val="0"/>
              <w:spacing w:beforeAutospacing="0" w:afterAutospacing="0" w:line="560" w:lineRule="exact"/>
              <w:jc w:val="center"/>
              <w:textAlignment w:val="auto"/>
              <w:rPr>
                <w:rFonts w:ascii="宋体" w:hAnsi="宋体" w:eastAsia="宋体" w:cs="宋体"/>
                <w:color w:val="auto"/>
                <w:sz w:val="24"/>
                <w:szCs w:val="24"/>
                <w:highlight w:val="none"/>
              </w:rPr>
            </w:pPr>
            <w:bookmarkStart w:id="0" w:name="_GoBack"/>
            <w:bookmarkEnd w:id="0"/>
          </w:p>
        </w:tc>
      </w:tr>
    </w:tbl>
    <w:p w14:paraId="09781047">
      <w:pPr>
        <w:pageBreakBefore w:val="0"/>
        <w:shd w:val="clear"/>
        <w:kinsoku/>
        <w:overflowPunct/>
        <w:topLinePunct w:val="0"/>
        <w:autoSpaceDE/>
        <w:bidi w:val="0"/>
        <w:snapToGrid w:val="0"/>
        <w:spacing w:beforeAutospacing="0" w:afterAutospacing="0" w:line="560" w:lineRule="exact"/>
        <w:textAlignment w:val="auto"/>
        <w:rPr>
          <w:color w:val="auto"/>
          <w:highlight w:val="none"/>
        </w:rPr>
      </w:pPr>
    </w:p>
    <w:p w14:paraId="19683B85">
      <w:pPr>
        <w:pageBreakBefore w:val="0"/>
        <w:shd w:val="clear"/>
        <w:kinsoku/>
        <w:overflowPunct/>
        <w:topLinePunct w:val="0"/>
        <w:autoSpaceDE/>
        <w:bidi w:val="0"/>
        <w:snapToGrid w:val="0"/>
        <w:spacing w:beforeAutospacing="0" w:afterAutospacing="0" w:line="560" w:lineRule="exact"/>
        <w:textAlignment w:val="auto"/>
        <w:rPr>
          <w:rFonts w:hint="eastAsia" w:ascii="宋体" w:hAnsi="宋体" w:eastAsia="宋体" w:cs="宋体"/>
          <w:bCs/>
          <w:color w:val="auto"/>
          <w:sz w:val="24"/>
          <w:highlight w:val="none"/>
          <w:shd w:val="clear" w:color="auto" w:fill="FFFFFF"/>
        </w:rPr>
      </w:pPr>
      <w:r>
        <w:rPr>
          <w:rFonts w:hint="eastAsia" w:ascii="宋体" w:hAnsi="宋体" w:eastAsia="宋体" w:cs="宋体"/>
          <w:bCs/>
          <w:color w:val="auto"/>
          <w:sz w:val="24"/>
          <w:highlight w:val="none"/>
          <w:shd w:val="clear" w:color="auto" w:fill="FFFFFF"/>
        </w:rPr>
        <w:t xml:space="preserve">联系人：             </w:t>
      </w:r>
      <w:r>
        <w:rPr>
          <w:rFonts w:hint="eastAsia" w:ascii="宋体" w:hAnsi="宋体" w:eastAsia="宋体" w:cs="宋体"/>
          <w:bCs/>
          <w:color w:val="auto"/>
          <w:sz w:val="24"/>
          <w:highlight w:val="none"/>
          <w:shd w:val="clear" w:color="auto" w:fill="FFFFFF"/>
          <w:lang w:val="en-US" w:eastAsia="zh-CN"/>
        </w:rPr>
        <w:t xml:space="preserve">   </w:t>
      </w:r>
      <w:r>
        <w:rPr>
          <w:rFonts w:hint="eastAsia" w:ascii="宋体" w:hAnsi="宋体" w:eastAsia="宋体" w:cs="宋体"/>
          <w:bCs/>
          <w:color w:val="auto"/>
          <w:sz w:val="24"/>
          <w:highlight w:val="none"/>
          <w:shd w:val="clear" w:color="auto" w:fill="FFFFFF"/>
        </w:rPr>
        <w:t xml:space="preserve">  </w:t>
      </w:r>
      <w:r>
        <w:rPr>
          <w:rFonts w:hint="eastAsia" w:ascii="宋体" w:hAnsi="宋体" w:eastAsia="宋体" w:cs="宋体"/>
          <w:bCs/>
          <w:color w:val="auto"/>
          <w:sz w:val="24"/>
          <w:highlight w:val="none"/>
          <w:shd w:val="clear" w:color="auto" w:fill="FFFFFF"/>
          <w:lang w:val="en-US" w:eastAsia="zh-CN"/>
        </w:rPr>
        <w:t xml:space="preserve">   </w:t>
      </w:r>
      <w:r>
        <w:rPr>
          <w:rFonts w:hint="eastAsia" w:ascii="宋体" w:hAnsi="宋体" w:eastAsia="宋体" w:cs="宋体"/>
          <w:bCs/>
          <w:color w:val="auto"/>
          <w:sz w:val="24"/>
          <w:highlight w:val="none"/>
          <w:shd w:val="clear" w:color="auto" w:fill="FFFFFF"/>
        </w:rPr>
        <w:t>联系电话：</w:t>
      </w:r>
      <w:r>
        <w:rPr>
          <w:rFonts w:hint="eastAsia" w:ascii="宋体" w:hAnsi="宋体" w:eastAsia="宋体" w:cs="宋体"/>
          <w:bCs/>
          <w:color w:val="auto"/>
          <w:sz w:val="24"/>
          <w:highlight w:val="none"/>
          <w:shd w:val="clear" w:color="auto" w:fill="FFFFFF"/>
          <w:lang w:val="en-US" w:eastAsia="zh-CN"/>
        </w:rPr>
        <w:t xml:space="preserve">                            </w:t>
      </w:r>
      <w:r>
        <w:rPr>
          <w:rFonts w:hint="eastAsia" w:ascii="宋体" w:hAnsi="宋体" w:eastAsia="宋体" w:cs="宋体"/>
          <w:bCs/>
          <w:color w:val="auto"/>
          <w:sz w:val="24"/>
          <w:highlight w:val="none"/>
          <w:shd w:val="clear" w:color="auto" w:fill="FFFFFF"/>
        </w:rPr>
        <w:t>供应商名称（加盖公章）：</w:t>
      </w:r>
    </w:p>
    <w:p w14:paraId="033B27A5">
      <w:pPr>
        <w:shd w:val="clear"/>
        <w:rPr>
          <w:rFonts w:hint="eastAsia" w:ascii="宋体" w:hAnsi="宋体" w:eastAsia="宋体" w:cs="宋体"/>
          <w:bCs/>
          <w:color w:val="auto"/>
          <w:sz w:val="24"/>
          <w:highlight w:val="none"/>
          <w:shd w:val="clear" w:color="auto" w:fill="FFFFFF"/>
        </w:rPr>
      </w:pPr>
    </w:p>
    <w:p w14:paraId="59D1D08C">
      <w:pPr>
        <w:pStyle w:val="2"/>
        <w:rPr>
          <w:rFonts w:hint="eastAsia"/>
        </w:rPr>
        <w:sectPr>
          <w:footerReference r:id="rId4" w:type="default"/>
          <w:pgSz w:w="16838" w:h="11906" w:orient="landscape"/>
          <w:pgMar w:top="1587" w:right="1440" w:bottom="1474" w:left="1440" w:header="851" w:footer="992" w:gutter="0"/>
          <w:pgNumType w:fmt="decimal"/>
          <w:cols w:space="0" w:num="1"/>
          <w:rtlGutter w:val="0"/>
          <w:docGrid w:type="lines" w:linePitch="312" w:charSpace="0"/>
        </w:sectPr>
      </w:pPr>
    </w:p>
    <w:p w14:paraId="2C9009E0">
      <w:pPr>
        <w:pageBreakBefore w:val="0"/>
        <w:shd w:val="solid" w:color="FFFFFF"/>
        <w:kinsoku/>
        <w:overflowPunct/>
        <w:topLinePunct w:val="0"/>
        <w:autoSpaceDE/>
        <w:autoSpaceDN w:val="0"/>
        <w:bidi w:val="0"/>
        <w:snapToGrid w:val="0"/>
        <w:spacing w:beforeAutospacing="0" w:afterAutospacing="0" w:line="560" w:lineRule="exact"/>
        <w:textAlignment w:val="auto"/>
        <w:rPr>
          <w:rFonts w:ascii="宋体" w:hAnsi="宋体" w:eastAsia="宋体" w:cs="宋体"/>
          <w:bCs/>
          <w:color w:val="auto"/>
          <w:sz w:val="24"/>
          <w:highlight w:val="none"/>
          <w:shd w:val="clear" w:color="auto" w:fill="FFFFFF"/>
        </w:rPr>
      </w:pPr>
      <w:r>
        <w:rPr>
          <w:rFonts w:hint="eastAsia" w:ascii="宋体" w:hAnsi="宋体" w:eastAsia="宋体" w:cs="宋体"/>
          <w:bCs/>
          <w:color w:val="auto"/>
          <w:sz w:val="24"/>
          <w:highlight w:val="none"/>
          <w:shd w:val="clear" w:color="auto" w:fill="FFFFFF"/>
        </w:rPr>
        <w:t>附件2</w:t>
      </w:r>
    </w:p>
    <w:p w14:paraId="070FEA0F">
      <w:pPr>
        <w:pageBreakBefore w:val="0"/>
        <w:shd w:val="solid" w:color="FFFFFF"/>
        <w:kinsoku/>
        <w:overflowPunct/>
        <w:topLinePunct w:val="0"/>
        <w:autoSpaceDE/>
        <w:autoSpaceDN w:val="0"/>
        <w:bidi w:val="0"/>
        <w:snapToGrid w:val="0"/>
        <w:spacing w:beforeAutospacing="0" w:afterAutospacing="0" w:line="560" w:lineRule="exact"/>
        <w:jc w:val="center"/>
        <w:textAlignment w:val="auto"/>
        <w:rPr>
          <w:rFonts w:ascii="宋体" w:hAnsi="宋体" w:eastAsia="宋体" w:cs="宋体"/>
          <w:color w:val="auto"/>
          <w:sz w:val="24"/>
          <w:highlight w:val="none"/>
          <w:shd w:val="clear" w:color="auto" w:fill="FFFFFF"/>
        </w:rPr>
      </w:pPr>
      <w:r>
        <w:rPr>
          <w:rFonts w:hint="eastAsia" w:ascii="宋体" w:hAnsi="宋体" w:eastAsia="宋体" w:cs="宋体"/>
          <w:b/>
          <w:color w:val="auto"/>
          <w:sz w:val="24"/>
          <w:highlight w:val="none"/>
          <w:shd w:val="clear" w:color="auto" w:fill="FFFFFF"/>
        </w:rPr>
        <w:t>参加采购活动前三年内在经营活动中没有重大违法记录书面声明</w:t>
      </w:r>
    </w:p>
    <w:p w14:paraId="68E4FFDE">
      <w:pPr>
        <w:pageBreakBefore w:val="0"/>
        <w:shd w:val="solid" w:color="FFFFFF"/>
        <w:kinsoku/>
        <w:overflowPunct/>
        <w:topLinePunct w:val="0"/>
        <w:autoSpaceDE/>
        <w:autoSpaceDN w:val="0"/>
        <w:bidi w:val="0"/>
        <w:snapToGrid w:val="0"/>
        <w:spacing w:beforeAutospacing="0" w:afterAutospacing="0" w:line="560" w:lineRule="exact"/>
        <w:textAlignment w:val="auto"/>
        <w:rPr>
          <w:rFonts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p>
    <w:p w14:paraId="66578957">
      <w:pPr>
        <w:pageBreakBefore w:val="0"/>
        <w:shd w:val="solid" w:color="FFFFFF"/>
        <w:kinsoku/>
        <w:overflowPunct/>
        <w:topLinePunct w:val="0"/>
        <w:autoSpaceDE/>
        <w:autoSpaceDN w:val="0"/>
        <w:bidi w:val="0"/>
        <w:snapToGrid w:val="0"/>
        <w:spacing w:beforeAutospacing="0" w:afterAutospacing="0" w:line="560" w:lineRule="exact"/>
        <w:ind w:firstLine="420"/>
        <w:textAlignment w:val="auto"/>
        <w:rPr>
          <w:rFonts w:ascii="宋体" w:hAnsi="宋体" w:eastAsia="宋体" w:cs="宋体"/>
          <w:color w:val="auto"/>
          <w:sz w:val="24"/>
          <w:highlight w:val="none"/>
        </w:rPr>
      </w:pPr>
      <w:r>
        <w:rPr>
          <w:rFonts w:hint="eastAsia" w:ascii="宋体" w:hAnsi="宋体" w:eastAsia="宋体" w:cs="宋体"/>
          <w:color w:val="auto"/>
          <w:sz w:val="24"/>
          <w:highlight w:val="none"/>
        </w:rPr>
        <w:t>参加采购活动前三年内，我方在经营活动中没有重大违法记录，也无行贿犯罪记录。</w:t>
      </w:r>
    </w:p>
    <w:p w14:paraId="42E9460E">
      <w:pPr>
        <w:pageBreakBefore w:val="0"/>
        <w:shd w:val="solid" w:color="FFFFFF"/>
        <w:kinsoku/>
        <w:overflowPunct/>
        <w:topLinePunct w:val="0"/>
        <w:autoSpaceDE/>
        <w:autoSpaceDN w:val="0"/>
        <w:bidi w:val="0"/>
        <w:snapToGrid w:val="0"/>
        <w:spacing w:beforeAutospacing="0" w:afterAutospacing="0" w:line="560" w:lineRule="exact"/>
        <w:ind w:firstLine="420"/>
        <w:textAlignment w:val="auto"/>
        <w:rPr>
          <w:rFonts w:ascii="宋体" w:hAnsi="宋体" w:eastAsia="宋体" w:cs="宋体"/>
          <w:color w:val="auto"/>
          <w:sz w:val="24"/>
          <w:highlight w:val="none"/>
        </w:rPr>
      </w:pPr>
      <w:r>
        <w:rPr>
          <w:rFonts w:hint="eastAsia" w:ascii="宋体" w:hAnsi="宋体" w:eastAsia="宋体" w:cs="宋体"/>
          <w:color w:val="auto"/>
          <w:sz w:val="24"/>
          <w:highlight w:val="none"/>
        </w:rPr>
        <w:t>特此声明。</w:t>
      </w:r>
    </w:p>
    <w:p w14:paraId="422480D7">
      <w:pPr>
        <w:pageBreakBefore w:val="0"/>
        <w:shd w:val="solid" w:color="FFFFFF"/>
        <w:kinsoku/>
        <w:overflowPunct/>
        <w:topLinePunct w:val="0"/>
        <w:autoSpaceDE/>
        <w:autoSpaceDN w:val="0"/>
        <w:bidi w:val="0"/>
        <w:snapToGrid w:val="0"/>
        <w:spacing w:beforeAutospacing="0" w:afterAutospacing="0" w:line="560" w:lineRule="exact"/>
        <w:textAlignment w:val="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★注意：</w:t>
      </w:r>
    </w:p>
    <w:p w14:paraId="0DC9B97A">
      <w:pPr>
        <w:pageBreakBefore w:val="0"/>
        <w:shd w:val="solid" w:color="FFFFFF"/>
        <w:kinsoku/>
        <w:overflowPunct/>
        <w:topLinePunct w:val="0"/>
        <w:autoSpaceDE/>
        <w:autoSpaceDN w:val="0"/>
        <w:bidi w:val="0"/>
        <w:snapToGrid w:val="0"/>
        <w:spacing w:beforeAutospacing="0" w:afterAutospacing="0" w:line="560" w:lineRule="exact"/>
        <w:textAlignment w:val="auto"/>
        <w:rPr>
          <w:rFonts w:ascii="宋体" w:hAnsi="宋体" w:eastAsia="宋体" w:cs="宋体"/>
          <w:color w:val="auto"/>
          <w:sz w:val="24"/>
          <w:highlight w:val="none"/>
        </w:rPr>
      </w:pPr>
      <w:r>
        <w:rPr>
          <w:rFonts w:hint="eastAsia" w:ascii="宋体" w:hAnsi="宋体" w:eastAsia="宋体" w:cs="宋体"/>
          <w:color w:val="auto"/>
          <w:sz w:val="24"/>
          <w:highlight w:val="none"/>
        </w:rPr>
        <w:t>1、“重大违法记录”指停产停业、吊销许可证或执照、较大</w:t>
      </w:r>
      <w:r>
        <w:rPr>
          <w:rFonts w:hint="eastAsia" w:ascii="宋体" w:hAnsi="宋体" w:eastAsia="宋体" w:cs="宋体"/>
          <w:color w:val="auto"/>
          <w:sz w:val="24"/>
          <w:highlight w:val="none"/>
          <w:lang w:eastAsia="zh-CN"/>
        </w:rPr>
        <w:t>参选人</w:t>
      </w:r>
      <w:r>
        <w:rPr>
          <w:rFonts w:hint="eastAsia" w:ascii="宋体" w:hAnsi="宋体" w:eastAsia="宋体" w:cs="宋体"/>
          <w:color w:val="auto"/>
          <w:sz w:val="24"/>
          <w:highlight w:val="none"/>
        </w:rPr>
        <w:t>因违法经营受到刑事处罚或责令数额罚款等行政处罚。</w:t>
      </w:r>
    </w:p>
    <w:p w14:paraId="447068F5">
      <w:pPr>
        <w:pageBreakBefore w:val="0"/>
        <w:shd w:val="solid" w:color="FFFFFF"/>
        <w:kinsoku/>
        <w:overflowPunct/>
        <w:topLinePunct w:val="0"/>
        <w:autoSpaceDE/>
        <w:autoSpaceDN w:val="0"/>
        <w:bidi w:val="0"/>
        <w:snapToGrid w:val="0"/>
        <w:spacing w:beforeAutospacing="0" w:afterAutospacing="0" w:line="560" w:lineRule="exact"/>
        <w:textAlignment w:val="auto"/>
        <w:rPr>
          <w:rFonts w:ascii="宋体" w:hAnsi="宋体" w:eastAsia="宋体" w:cs="宋体"/>
          <w:color w:val="auto"/>
          <w:sz w:val="24"/>
          <w:highlight w:val="none"/>
        </w:rPr>
      </w:pPr>
      <w:r>
        <w:rPr>
          <w:rFonts w:hint="eastAsia" w:ascii="宋体" w:hAnsi="宋体" w:eastAsia="宋体" w:cs="宋体"/>
          <w:color w:val="auto"/>
          <w:sz w:val="24"/>
          <w:highlight w:val="none"/>
        </w:rPr>
        <w:t>2、本声明应为原件。</w:t>
      </w:r>
    </w:p>
    <w:p w14:paraId="464B12F9">
      <w:pPr>
        <w:pageBreakBefore w:val="0"/>
        <w:shd w:val="solid" w:color="FFFFFF"/>
        <w:kinsoku/>
        <w:overflowPunct/>
        <w:topLinePunct w:val="0"/>
        <w:autoSpaceDE/>
        <w:autoSpaceDN w:val="0"/>
        <w:bidi w:val="0"/>
        <w:snapToGrid w:val="0"/>
        <w:spacing w:beforeAutospacing="0" w:afterAutospacing="0" w:line="56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3、请</w:t>
      </w:r>
      <w:r>
        <w:rPr>
          <w:rFonts w:hint="eastAsia" w:ascii="宋体" w:hAnsi="宋体" w:eastAsia="宋体" w:cs="宋体"/>
          <w:color w:val="auto"/>
          <w:sz w:val="24"/>
          <w:highlight w:val="none"/>
          <w:lang w:eastAsia="zh-CN"/>
        </w:rPr>
        <w:t>参选人</w:t>
      </w:r>
      <w:r>
        <w:rPr>
          <w:rFonts w:hint="eastAsia" w:ascii="宋体" w:hAnsi="宋体" w:eastAsia="宋体" w:cs="宋体"/>
          <w:color w:val="auto"/>
          <w:sz w:val="24"/>
          <w:highlight w:val="none"/>
        </w:rPr>
        <w:t>根据实际情况如实声明，否则视为提供虚假材料。</w:t>
      </w:r>
    </w:p>
    <w:p w14:paraId="1AD7C29B">
      <w:pPr>
        <w:pStyle w:val="2"/>
        <w:pageBreakBefore w:val="0"/>
        <w:shd w:val="clear"/>
        <w:kinsoku/>
        <w:overflowPunct/>
        <w:topLinePunct w:val="0"/>
        <w:autoSpaceDE/>
        <w:bidi w:val="0"/>
        <w:snapToGrid w:val="0"/>
        <w:spacing w:beforeAutospacing="0" w:afterAutospacing="0" w:line="560" w:lineRule="exact"/>
        <w:textAlignment w:val="auto"/>
        <w:rPr>
          <w:color w:val="auto"/>
          <w:highlight w:val="none"/>
        </w:rPr>
      </w:pPr>
    </w:p>
    <w:p w14:paraId="3FA8EE3A">
      <w:pPr>
        <w:pageBreakBefore w:val="0"/>
        <w:shd w:val="clear"/>
        <w:kinsoku/>
        <w:overflowPunct/>
        <w:topLinePunct w:val="0"/>
        <w:autoSpaceDE/>
        <w:bidi w:val="0"/>
        <w:snapToGrid w:val="0"/>
        <w:spacing w:beforeAutospacing="0" w:afterAutospacing="0" w:line="560" w:lineRule="exact"/>
        <w:textAlignment w:val="auto"/>
        <w:rPr>
          <w:color w:val="auto"/>
          <w:highlight w:val="none"/>
        </w:rPr>
      </w:pPr>
    </w:p>
    <w:p w14:paraId="330182D3">
      <w:pPr>
        <w:pageBreakBefore w:val="0"/>
        <w:shd w:val="solid" w:color="FFFFFF"/>
        <w:kinsoku/>
        <w:overflowPunct/>
        <w:topLinePunct w:val="0"/>
        <w:autoSpaceDE/>
        <w:autoSpaceDN w:val="0"/>
        <w:bidi w:val="0"/>
        <w:snapToGrid w:val="0"/>
        <w:spacing w:beforeAutospacing="0" w:afterAutospacing="0" w:line="560" w:lineRule="exact"/>
        <w:ind w:firstLine="5280" w:firstLineChars="2200"/>
        <w:textAlignment w:val="auto"/>
        <w:rPr>
          <w:rFonts w:ascii="宋体" w:hAnsi="宋体" w:eastAsia="宋体" w:cs="宋体"/>
          <w:color w:val="auto"/>
          <w:sz w:val="24"/>
          <w:highlight w:val="none"/>
        </w:rPr>
      </w:pPr>
      <w:r>
        <w:rPr>
          <w:rFonts w:hint="eastAsia" w:ascii="宋体" w:hAnsi="宋体" w:eastAsia="宋体" w:cs="宋体"/>
          <w:color w:val="auto"/>
          <w:sz w:val="24"/>
          <w:highlight w:val="none"/>
          <w:lang w:eastAsia="zh-CN"/>
        </w:rPr>
        <w:t>参选人</w:t>
      </w:r>
      <w:r>
        <w:rPr>
          <w:rFonts w:hint="eastAsia" w:ascii="宋体" w:hAnsi="宋体" w:eastAsia="宋体" w:cs="宋体"/>
          <w:color w:val="auto"/>
          <w:sz w:val="24"/>
          <w:highlight w:val="none"/>
        </w:rPr>
        <w:t>：（全称并加盖单位公章）</w:t>
      </w:r>
    </w:p>
    <w:p w14:paraId="7CBF45E2">
      <w:pPr>
        <w:pageBreakBefore w:val="0"/>
        <w:shd w:val="solid" w:color="FFFFFF"/>
        <w:kinsoku/>
        <w:overflowPunct/>
        <w:topLinePunct w:val="0"/>
        <w:autoSpaceDE/>
        <w:autoSpaceDN w:val="0"/>
        <w:bidi w:val="0"/>
        <w:snapToGrid w:val="0"/>
        <w:spacing w:beforeAutospacing="0" w:afterAutospacing="0" w:line="560" w:lineRule="exact"/>
        <w:ind w:firstLine="5280" w:firstLineChars="2200"/>
        <w:textAlignment w:val="auto"/>
        <w:rPr>
          <w:rFonts w:ascii="宋体" w:hAnsi="宋体" w:eastAsia="宋体" w:cs="宋体"/>
          <w:color w:val="auto"/>
          <w:sz w:val="24"/>
          <w:highlight w:val="none"/>
        </w:rPr>
      </w:pPr>
      <w:r>
        <w:rPr>
          <w:rFonts w:hint="eastAsia" w:ascii="宋体" w:hAnsi="宋体" w:eastAsia="宋体" w:cs="宋体"/>
          <w:color w:val="auto"/>
          <w:sz w:val="24"/>
          <w:highlight w:val="none"/>
          <w:lang w:eastAsia="zh-CN"/>
        </w:rPr>
        <w:t>参选人</w:t>
      </w:r>
      <w:r>
        <w:rPr>
          <w:rFonts w:hint="eastAsia" w:ascii="宋体" w:hAnsi="宋体" w:eastAsia="宋体" w:cs="宋体"/>
          <w:color w:val="auto"/>
          <w:sz w:val="24"/>
          <w:highlight w:val="none"/>
        </w:rPr>
        <w:t xml:space="preserve">代表签字：                   </w:t>
      </w:r>
    </w:p>
    <w:p w14:paraId="1F8B91B1">
      <w:pPr>
        <w:pageBreakBefore w:val="0"/>
        <w:shd w:val="solid" w:color="FFFFFF"/>
        <w:kinsoku/>
        <w:overflowPunct/>
        <w:topLinePunct w:val="0"/>
        <w:autoSpaceDE/>
        <w:autoSpaceDN w:val="0"/>
        <w:bidi w:val="0"/>
        <w:snapToGrid w:val="0"/>
        <w:spacing w:beforeAutospacing="0" w:afterAutospacing="0" w:line="560" w:lineRule="exact"/>
        <w:ind w:firstLine="5280" w:firstLineChars="2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年   月   </w:t>
      </w:r>
    </w:p>
    <w:p w14:paraId="090DFA6C">
      <w:pPr>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7C38689A">
      <w:pPr>
        <w:pStyle w:val="2"/>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766B9312">
      <w:pPr>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607C0F89">
      <w:pPr>
        <w:pStyle w:val="2"/>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1FEFF317">
      <w:pPr>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75944C00">
      <w:pPr>
        <w:pStyle w:val="2"/>
        <w:pageBreakBefore w:val="0"/>
        <w:shd w:val="clear"/>
        <w:kinsoku/>
        <w:overflowPunct/>
        <w:topLinePunct w:val="0"/>
        <w:autoSpaceDE/>
        <w:bidi w:val="0"/>
        <w:snapToGrid w:val="0"/>
        <w:spacing w:beforeAutospacing="0" w:afterAutospacing="0" w:line="560" w:lineRule="exact"/>
        <w:textAlignment w:val="auto"/>
        <w:rPr>
          <w:rFonts w:hint="eastAsia" w:ascii="仿宋" w:hAnsi="仿宋" w:eastAsia="仿宋" w:cs="Times New Roman"/>
          <w:color w:val="000000"/>
          <w:kern w:val="0"/>
          <w:sz w:val="32"/>
          <w:szCs w:val="32"/>
          <w:highlight w:val="none"/>
          <w:lang w:val="en-US" w:eastAsia="zh-CN" w:bidi="ar-SA"/>
        </w:rPr>
      </w:pPr>
    </w:p>
    <w:p w14:paraId="3EBC3B5B">
      <w:pPr>
        <w:pageBreakBefore w:val="0"/>
        <w:shd w:val="clear"/>
        <w:kinsoku/>
        <w:overflowPunct/>
        <w:topLinePunct w:val="0"/>
        <w:autoSpaceDE/>
        <w:bidi w:val="0"/>
        <w:snapToGrid w:val="0"/>
        <w:spacing w:beforeAutospacing="0" w:afterAutospacing="0" w:line="560" w:lineRule="exact"/>
        <w:textAlignment w:val="auto"/>
        <w:rPr>
          <w:rFonts w:hint="eastAsia"/>
          <w:highlight w:val="none"/>
          <w:lang w:val="en-US" w:eastAsia="zh-CN"/>
        </w:rPr>
      </w:pPr>
    </w:p>
    <w:sectPr>
      <w:pgSz w:w="11906" w:h="16838"/>
      <w:pgMar w:top="1440" w:right="1474" w:bottom="1440"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D742F">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158BFE4">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1158BFE4">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16C1A">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2NTcyOGJkNWY0YjIwMjUzYmY0NWJjM2VkM2YxMzEifQ=="/>
  </w:docVars>
  <w:rsids>
    <w:rsidRoot w:val="46F611E5"/>
    <w:rsid w:val="009820B5"/>
    <w:rsid w:val="02954999"/>
    <w:rsid w:val="07285C9A"/>
    <w:rsid w:val="08357DDF"/>
    <w:rsid w:val="08575EB9"/>
    <w:rsid w:val="09F7537F"/>
    <w:rsid w:val="0B293A5F"/>
    <w:rsid w:val="0B563B33"/>
    <w:rsid w:val="14A01671"/>
    <w:rsid w:val="14D633F9"/>
    <w:rsid w:val="1ACE1358"/>
    <w:rsid w:val="1BDD75C4"/>
    <w:rsid w:val="1E370862"/>
    <w:rsid w:val="27C905E8"/>
    <w:rsid w:val="29714AF7"/>
    <w:rsid w:val="2BD770BB"/>
    <w:rsid w:val="32C726B5"/>
    <w:rsid w:val="3E3642DC"/>
    <w:rsid w:val="3FB97E4A"/>
    <w:rsid w:val="457F2DDB"/>
    <w:rsid w:val="46F611E5"/>
    <w:rsid w:val="56291488"/>
    <w:rsid w:val="566860B0"/>
    <w:rsid w:val="594E65E1"/>
    <w:rsid w:val="59CB1B22"/>
    <w:rsid w:val="5DC6082C"/>
    <w:rsid w:val="63B4737A"/>
    <w:rsid w:val="64F075F7"/>
    <w:rsid w:val="650059F5"/>
    <w:rsid w:val="655C2A9B"/>
    <w:rsid w:val="66AA68BE"/>
    <w:rsid w:val="70334841"/>
    <w:rsid w:val="7113780F"/>
    <w:rsid w:val="7524023C"/>
    <w:rsid w:val="75BA7310"/>
    <w:rsid w:val="76670365"/>
    <w:rsid w:val="772566D6"/>
    <w:rsid w:val="790E1AF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rPr>
      <w:rFonts w:hint="eastAsia" w:ascii="宋体" w:hAnsi="宋体"/>
      <w:color w:val="000000"/>
      <w:sz w:val="24"/>
    </w:r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99"/>
    <w:pPr>
      <w:widowControl/>
      <w:spacing w:before="100" w:beforeAutospacing="1" w:after="100" w:afterAutospacing="1"/>
      <w:jc w:val="left"/>
    </w:pPr>
    <w:rPr>
      <w:rFonts w:ascii="宋体" w:hAnsi="宋体" w:eastAsia="宋体" w:cs="Times New Roman"/>
      <w:color w:val="000000"/>
      <w:kern w:val="0"/>
      <w:sz w:val="24"/>
      <w:szCs w:val="24"/>
    </w:rPr>
  </w:style>
  <w:style w:type="paragraph" w:styleId="7">
    <w:name w:val="Body Text First Indent"/>
    <w:basedOn w:val="2"/>
    <w:qFormat/>
    <w:uiPriority w:val="0"/>
    <w:pPr>
      <w:ind w:firstLine="420" w:firstLineChars="100"/>
    </w:pPr>
    <w:rPr>
      <w:rFonts w:ascii="Calibri" w:hAnsi="Calibri" w:eastAsia="宋体" w:cs="宋体"/>
      <w:szCs w:val="21"/>
    </w:rPr>
  </w:style>
  <w:style w:type="paragraph" w:customStyle="1" w:styleId="10">
    <w:name w:val="样式1"/>
    <w:basedOn w:val="1"/>
    <w:qFormat/>
    <w:uiPriority w:val="0"/>
    <w:rPr>
      <w:rFonts w:eastAsia="仿宋" w:asciiTheme="minorAscii" w:hAnsiTheme="minorAscii"/>
      <w:sz w:val="32"/>
    </w:rPr>
  </w:style>
  <w:style w:type="paragraph" w:customStyle="1" w:styleId="11">
    <w:name w:val="普通(网站) Char"/>
    <w:basedOn w:val="1"/>
    <w:qFormat/>
    <w:uiPriority w:val="0"/>
    <w:pPr>
      <w:spacing w:before="0" w:beforeAutospacing="1" w:after="0" w:afterAutospacing="1"/>
      <w:ind w:left="0" w:right="0"/>
      <w:jc w:val="left"/>
    </w:pPr>
    <w:rPr>
      <w:rFonts w:hint="eastAsia" w:ascii="宋体" w:hAnsi="宋体" w:eastAsia="宋体" w:cs="宋体"/>
      <w:kern w:val="0"/>
      <w:sz w:val="24"/>
      <w:szCs w:val="24"/>
      <w:lang w:val="en-US" w:eastAsia="zh-CN" w:bidi="ar"/>
    </w:rPr>
  </w:style>
  <w:style w:type="paragraph" w:customStyle="1" w:styleId="12">
    <w:name w:val="paragraph"/>
    <w:basedOn w:val="1"/>
    <w:qFormat/>
    <w:uiPriority w:val="0"/>
    <w:pPr>
      <w:spacing w:before="100" w:beforeAutospacing="1" w:after="100" w:afterAutospacing="1"/>
    </w:pPr>
    <w:rPr>
      <w:rFonts w:ascii="宋体" w:hAnsi="宋体" w:cs="宋体"/>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2871</Words>
  <Characters>2973</Characters>
  <Lines>0</Lines>
  <Paragraphs>0</Paragraphs>
  <TotalTime>3</TotalTime>
  <ScaleCrop>false</ScaleCrop>
  <LinksUpToDate>false</LinksUpToDate>
  <CharactersWithSpaces>3124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2022-05-17T09:16:00Z</dcterms:created>
  <dc:creator>zyb</dc:creator>
  <cp:lastModifiedBy>吴承淮</cp:lastModifiedBy>
  <cp:lastPrinted>2025-03-03T00:34:00Z</cp:lastPrinted>
  <dcterms:modified xsi:type="dcterms:W3CDTF">2025-03-03T01:51:17Z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9A2C06C92E1241F8909255C96F9295EA</vt:lpwstr>
  </property>
  <property fmtid="{D5CDD505-2E9C-101B-9397-08002B2CF9AE}" pid="4" name="KSOTemplateDocerSaveRecord">
    <vt:lpwstr>eyJoZGlkIjoiYzlhM2U3ZWE1NGM5ZDdhZjA4MmZiNDI4MTI5NDNiYjIiLCJ1c2VySWQiOiIzMDc5OTc0NCJ9</vt:lpwstr>
  </property>
</Properties>
</file>