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D1" w:rsidRDefault="00942208">
      <w:pPr>
        <w:widowControl w:val="0"/>
        <w:spacing w:after="0" w:line="570" w:lineRule="exact"/>
        <w:jc w:val="center"/>
        <w:rPr>
          <w:rFonts w:ascii="方正小标宋简体" w:eastAsia="方正小标宋简体" w:hAnsi="宋体"/>
          <w:sz w:val="39"/>
          <w:szCs w:val="39"/>
        </w:rPr>
      </w:pPr>
      <w:proofErr w:type="gramStart"/>
      <w:r>
        <w:rPr>
          <w:rFonts w:ascii="方正小标宋简体" w:eastAsia="方正小标宋简体" w:hAnsi="宋体" w:hint="eastAsia"/>
          <w:sz w:val="39"/>
          <w:szCs w:val="39"/>
        </w:rPr>
        <w:t>湄洲湾</w:t>
      </w:r>
      <w:proofErr w:type="gramEnd"/>
      <w:r>
        <w:rPr>
          <w:rFonts w:ascii="方正小标宋简体" w:eastAsia="方正小标宋简体" w:hAnsi="宋体" w:hint="eastAsia"/>
          <w:sz w:val="39"/>
          <w:szCs w:val="39"/>
        </w:rPr>
        <w:t>港</w:t>
      </w:r>
      <w:r>
        <w:rPr>
          <w:rFonts w:ascii="方正小标宋简体" w:eastAsia="方正小标宋简体" w:hAnsi="宋体" w:hint="eastAsia"/>
          <w:sz w:val="39"/>
          <w:szCs w:val="39"/>
        </w:rPr>
        <w:t>引航站</w:t>
      </w:r>
      <w:r>
        <w:rPr>
          <w:rFonts w:ascii="方正小标宋简体" w:eastAsia="方正小标宋简体" w:hAnsi="宋体" w:hint="eastAsia"/>
          <w:sz w:val="39"/>
          <w:szCs w:val="39"/>
        </w:rPr>
        <w:t>2022</w:t>
      </w:r>
      <w:r>
        <w:rPr>
          <w:rFonts w:ascii="方正小标宋简体" w:eastAsia="方正小标宋简体" w:hAnsi="宋体" w:hint="eastAsia"/>
          <w:sz w:val="39"/>
          <w:szCs w:val="39"/>
        </w:rPr>
        <w:t>年度</w:t>
      </w:r>
      <w:r>
        <w:rPr>
          <w:rFonts w:ascii="方正小标宋简体" w:eastAsia="方正小标宋简体" w:hAnsi="宋体" w:hint="eastAsia"/>
          <w:sz w:val="39"/>
          <w:szCs w:val="39"/>
        </w:rPr>
        <w:t>办公家具采购项目</w:t>
      </w:r>
    </w:p>
    <w:p w:rsidR="008176D1" w:rsidRDefault="00942208">
      <w:pPr>
        <w:widowControl w:val="0"/>
        <w:spacing w:after="0" w:line="570" w:lineRule="exact"/>
        <w:jc w:val="center"/>
        <w:rPr>
          <w:rFonts w:ascii="方正小标宋简体" w:eastAsia="方正小标宋简体" w:hAnsi="宋体"/>
          <w:sz w:val="39"/>
          <w:szCs w:val="39"/>
        </w:rPr>
      </w:pPr>
      <w:r>
        <w:rPr>
          <w:rFonts w:ascii="方正小标宋简体" w:eastAsia="方正小标宋简体" w:hAnsi="宋体" w:hint="eastAsia"/>
          <w:sz w:val="39"/>
          <w:szCs w:val="39"/>
        </w:rPr>
        <w:t>比选公告</w:t>
      </w:r>
    </w:p>
    <w:p w:rsidR="008176D1" w:rsidRDefault="008176D1">
      <w:pPr>
        <w:widowControl w:val="0"/>
        <w:spacing w:after="0" w:line="570" w:lineRule="exact"/>
        <w:jc w:val="center"/>
        <w:rPr>
          <w:rFonts w:ascii="仿宋_GB2312" w:eastAsia="仿宋_GB2312"/>
          <w:sz w:val="44"/>
          <w:szCs w:val="44"/>
        </w:rPr>
      </w:pP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一、项目概况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项目名称：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湄洲湾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港引航站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办公家具采购项目。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采购品目：包括办公桌、办公椅、单人沙发、文件柜。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配送期限：自合同签订之日起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天内。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项目预算：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2.85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万元。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采购方式：比选采购。</w:t>
      </w: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二、供应商资格</w:t>
      </w:r>
    </w:p>
    <w:p w:rsidR="008176D1" w:rsidRDefault="00942208">
      <w:pPr>
        <w:pStyle w:val="paragraph"/>
        <w:spacing w:before="0" w:beforeAutospacing="0" w:after="0" w:afterAutospacing="0" w:line="570" w:lineRule="exact"/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bookmarkStart w:id="0" w:name="OLE_LINK17"/>
      <w:bookmarkStart w:id="1" w:name="OLE_LINK18"/>
      <w:r>
        <w:rPr>
          <w:rFonts w:asciiTheme="minorEastAsia" w:eastAsiaTheme="minorEastAsia" w:hAnsiTheme="minorEastAsia" w:cstheme="minorEastAsia" w:hint="eastAsia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Cs w:val="24"/>
        </w:rPr>
        <w:t>供应商须是有能力提供本比选公告文件所述货物及服务的，提供有效的营业执照复印件；</w:t>
      </w:r>
    </w:p>
    <w:bookmarkEnd w:id="0"/>
    <w:bookmarkEnd w:id="1"/>
    <w:p w:rsidR="008176D1" w:rsidRDefault="00942208">
      <w:pPr>
        <w:pStyle w:val="paragraph"/>
        <w:spacing w:before="0" w:beforeAutospacing="0" w:after="0" w:afterAutospacing="0" w:line="570" w:lineRule="exact"/>
        <w:ind w:firstLineChars="200" w:firstLine="480"/>
        <w:jc w:val="both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Cs w:val="24"/>
        </w:rPr>
        <w:t>供应商代表必须</w:t>
      </w:r>
      <w:proofErr w:type="gramStart"/>
      <w:r>
        <w:rPr>
          <w:rFonts w:asciiTheme="minorEastAsia" w:eastAsiaTheme="minorEastAsia" w:hAnsiTheme="minorEastAsia" w:cstheme="minorEastAsia" w:hint="eastAsia"/>
          <w:szCs w:val="24"/>
        </w:rPr>
        <w:t>经供应</w:t>
      </w:r>
      <w:proofErr w:type="gramEnd"/>
      <w:r>
        <w:rPr>
          <w:rFonts w:asciiTheme="minorEastAsia" w:eastAsiaTheme="minorEastAsia" w:hAnsiTheme="minorEastAsia" w:cstheme="minorEastAsia" w:hint="eastAsia"/>
          <w:szCs w:val="24"/>
        </w:rPr>
        <w:t>商的法定代表人关于参与本项目报价的授权，请提供法定代表人授权供应商代表的授权委托书原件（供应商代表是法定代表人的无需提供）、法定代表人和供应商代表的身份证复印件；</w:t>
      </w:r>
    </w:p>
    <w:p w:rsidR="008176D1" w:rsidRDefault="00942208">
      <w:pPr>
        <w:pStyle w:val="paragraph"/>
        <w:spacing w:before="0" w:beforeAutospacing="0" w:after="0" w:afterAutospacing="0" w:line="570" w:lineRule="exact"/>
        <w:ind w:firstLineChars="200" w:firstLine="480"/>
        <w:jc w:val="both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Cs w:val="24"/>
        </w:rPr>
        <w:t>供应商需提供参加采购活动前三年内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在经营活动中没有重大违法记录书面声明</w:t>
      </w:r>
      <w:r>
        <w:rPr>
          <w:rFonts w:asciiTheme="minorEastAsia" w:eastAsiaTheme="minorEastAsia" w:hAnsiTheme="minorEastAsia" w:cstheme="minorEastAsia" w:hint="eastAsia"/>
          <w:szCs w:val="24"/>
        </w:rPr>
        <w:t>，格式详见附件</w:t>
      </w:r>
      <w:r>
        <w:rPr>
          <w:rFonts w:asciiTheme="minorEastAsia" w:eastAsiaTheme="minorEastAsia" w:hAnsiTheme="minorEastAsia" w:cstheme="minorEastAsia" w:hint="eastAsia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Cs w:val="24"/>
        </w:rPr>
        <w:t>；</w:t>
      </w:r>
    </w:p>
    <w:p w:rsidR="008176D1" w:rsidRDefault="00942208">
      <w:pPr>
        <w:pStyle w:val="paragraph"/>
        <w:spacing w:before="0" w:beforeAutospacing="0" w:after="0" w:afterAutospacing="0" w:line="570" w:lineRule="exact"/>
        <w:ind w:firstLineChars="200" w:firstLine="480"/>
        <w:jc w:val="both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Cs w:val="24"/>
        </w:rPr>
        <w:t>本项目专门面向中小企业采购，非中、小</w:t>
      </w:r>
      <w:proofErr w:type="gramStart"/>
      <w:r>
        <w:rPr>
          <w:rFonts w:asciiTheme="minorEastAsia" w:eastAsiaTheme="minorEastAsia" w:hAnsiTheme="minorEastAsia" w:cstheme="minorEastAsia" w:hint="eastAsia"/>
          <w:szCs w:val="24"/>
        </w:rPr>
        <w:t>微企业</w:t>
      </w:r>
      <w:proofErr w:type="gramEnd"/>
      <w:r>
        <w:rPr>
          <w:rFonts w:asciiTheme="minorEastAsia" w:eastAsiaTheme="minorEastAsia" w:hAnsiTheme="minorEastAsia" w:cstheme="minorEastAsia" w:hint="eastAsia"/>
          <w:szCs w:val="24"/>
        </w:rPr>
        <w:t>的将被拒绝。供应商提供的货物应符合《政府采购促进中小企业发展管理办法》</w:t>
      </w:r>
      <w:r>
        <w:rPr>
          <w:rFonts w:asciiTheme="minorEastAsia" w:eastAsiaTheme="minorEastAsia" w:hAnsiTheme="minorEastAsia" w:cstheme="minorEastAsia" w:hint="eastAsia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szCs w:val="24"/>
        </w:rPr>
        <w:t>财库〔</w:t>
      </w:r>
      <w:r>
        <w:rPr>
          <w:rFonts w:asciiTheme="minorEastAsia" w:eastAsiaTheme="minorEastAsia" w:hAnsiTheme="minorEastAsia" w:cstheme="minorEastAsia" w:hint="eastAsia"/>
          <w:szCs w:val="24"/>
        </w:rPr>
        <w:t>2020</w:t>
      </w:r>
      <w:r>
        <w:rPr>
          <w:rFonts w:asciiTheme="minorEastAsia" w:eastAsiaTheme="minorEastAsia" w:hAnsiTheme="minorEastAsia" w:cstheme="minorEastAsia" w:hint="eastAsia"/>
          <w:szCs w:val="24"/>
        </w:rPr>
        <w:t>〕</w:t>
      </w:r>
      <w:r>
        <w:rPr>
          <w:rFonts w:asciiTheme="minorEastAsia" w:eastAsiaTheme="minorEastAsia" w:hAnsiTheme="minorEastAsia" w:cstheme="minorEastAsia" w:hint="eastAsia"/>
          <w:szCs w:val="24"/>
        </w:rPr>
        <w:t>46</w:t>
      </w:r>
      <w:r>
        <w:rPr>
          <w:rFonts w:asciiTheme="minorEastAsia" w:eastAsiaTheme="minorEastAsia" w:hAnsiTheme="minorEastAsia" w:cstheme="minorEastAsia" w:hint="eastAsia"/>
          <w:szCs w:val="24"/>
        </w:rPr>
        <w:t>号</w:t>
      </w:r>
      <w:r>
        <w:rPr>
          <w:rFonts w:asciiTheme="minorEastAsia" w:eastAsiaTheme="minorEastAsia" w:hAnsiTheme="minorEastAsia" w:cstheme="minorEastAsia" w:hint="eastAsia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szCs w:val="24"/>
        </w:rPr>
        <w:t>第四条规定的情形，且应当提供《政府采购促进中小企业发展管理办法》</w:t>
      </w:r>
      <w:r>
        <w:rPr>
          <w:rFonts w:asciiTheme="minorEastAsia" w:eastAsiaTheme="minorEastAsia" w:hAnsiTheme="minorEastAsia" w:cstheme="minorEastAsia" w:hint="eastAsia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szCs w:val="24"/>
        </w:rPr>
        <w:t>财库〔</w:t>
      </w:r>
      <w:r>
        <w:rPr>
          <w:rFonts w:asciiTheme="minorEastAsia" w:eastAsiaTheme="minorEastAsia" w:hAnsiTheme="minorEastAsia" w:cstheme="minorEastAsia" w:hint="eastAsia"/>
          <w:szCs w:val="24"/>
        </w:rPr>
        <w:t>2020</w:t>
      </w:r>
      <w:r>
        <w:rPr>
          <w:rFonts w:asciiTheme="minorEastAsia" w:eastAsiaTheme="minorEastAsia" w:hAnsiTheme="minorEastAsia" w:cstheme="minorEastAsia" w:hint="eastAsia"/>
          <w:szCs w:val="24"/>
        </w:rPr>
        <w:t>〕</w:t>
      </w:r>
      <w:r>
        <w:rPr>
          <w:rFonts w:asciiTheme="minorEastAsia" w:eastAsiaTheme="minorEastAsia" w:hAnsiTheme="minorEastAsia" w:cstheme="minorEastAsia" w:hint="eastAsia"/>
          <w:szCs w:val="24"/>
        </w:rPr>
        <w:t>46</w:t>
      </w:r>
      <w:r>
        <w:rPr>
          <w:rFonts w:asciiTheme="minorEastAsia" w:eastAsiaTheme="minorEastAsia" w:hAnsiTheme="minorEastAsia" w:cstheme="minorEastAsia" w:hint="eastAsia"/>
          <w:szCs w:val="24"/>
        </w:rPr>
        <w:t>号</w:t>
      </w:r>
      <w:r>
        <w:rPr>
          <w:rFonts w:asciiTheme="minorEastAsia" w:eastAsiaTheme="minorEastAsia" w:hAnsiTheme="minorEastAsia" w:cstheme="minorEastAsia" w:hint="eastAsia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szCs w:val="24"/>
        </w:rPr>
        <w:t>规定的《中小企业声明函》，格式见附件</w:t>
      </w:r>
      <w:r>
        <w:rPr>
          <w:rFonts w:asciiTheme="minorEastAsia" w:eastAsiaTheme="minorEastAsia" w:hAnsiTheme="minorEastAsia" w:cstheme="minorEastAsia" w:hint="eastAsia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Cs w:val="24"/>
        </w:rPr>
        <w:t>。</w:t>
      </w: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三、比选方式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采购人在符合经营资格的供应商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要求不少于三家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的参选信件中比选，以最低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参选总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报价确定办公家具中选供应商，发出中选通知，签订采购合同。</w:t>
      </w: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t>四、验收方式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采购人、中选人按照比选公告、中选参选件和采购合同等进行验收。经双方现场交付、验收合格后，签署《采购验收单》。</w:t>
      </w: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五、费用及支付</w:t>
      </w:r>
    </w:p>
    <w:p w:rsidR="008176D1" w:rsidRDefault="00942208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以中选总报价为采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购合同总价，费用包括但不限于：办公家具、税收、运输、人工、安装等所有中选人履行合同义务可能发生的一切费用。</w:t>
      </w:r>
    </w:p>
    <w:p w:rsidR="008176D1" w:rsidRDefault="00A47D2D" w:rsidP="00A47D2D">
      <w:pPr>
        <w:widowControl w:val="0"/>
        <w:spacing w:after="0" w:line="570" w:lineRule="exact"/>
        <w:ind w:firstLineChars="196" w:firstLine="470"/>
        <w:rPr>
          <w:rFonts w:asciiTheme="minorEastAsia" w:eastAsiaTheme="minorEastAsia" w:hAnsiTheme="minorEastAsia" w:cstheme="minorEastAsia"/>
          <w:sz w:val="24"/>
          <w:szCs w:val="24"/>
        </w:rPr>
      </w:pPr>
      <w:r w:rsidRPr="00A47D2D">
        <w:rPr>
          <w:rFonts w:asciiTheme="minorEastAsia" w:eastAsiaTheme="minorEastAsia" w:hAnsiTheme="minorEastAsia" w:cstheme="minorEastAsia" w:hint="eastAsia"/>
          <w:sz w:val="24"/>
          <w:szCs w:val="24"/>
        </w:rPr>
        <w:t>2.采购人在收到全部货物及中选人增值税专用发票后支付中标价格的95%，其余5%货款在验收合格后付清。中选人未及时提供发票的，采购人有权顺延付款。</w:t>
      </w:r>
      <w:bookmarkStart w:id="2" w:name="_GoBack"/>
      <w:bookmarkEnd w:id="2"/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六、参选材料</w:t>
      </w:r>
    </w:p>
    <w:p w:rsidR="008176D1" w:rsidRDefault="00942208">
      <w:pPr>
        <w:widowControl w:val="0"/>
        <w:spacing w:after="0" w:line="570" w:lineRule="exact"/>
        <w:ind w:firstLineChars="200" w:firstLine="48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参选人须提供营业执照复印件、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法定代表人和供应商代表身份证复印件、授权委托书原件（若供应商代表是法定代表人的无需提供）、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参加采购活动前三年内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在经营活动中没有重大违法记录书面声明（附件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、中小企业声明函（附件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《办公家具采购项目参选报价单》（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附件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注明联系人和联系电话）。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</w:rPr>
        <w:t>以上参选材料均需加盖单位公章，缺一不可，材料不齐全、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</w:rPr>
        <w:t>未加盖公章、未注明联系人或联系电话的参选信件视为无效参选件。</w:t>
      </w:r>
    </w:p>
    <w:p w:rsidR="008176D1" w:rsidRDefault="00942208">
      <w:pPr>
        <w:widowControl w:val="0"/>
        <w:spacing w:after="0" w:line="570" w:lineRule="exact"/>
        <w:ind w:firstLineChars="200" w:firstLine="482"/>
        <w:rPr>
          <w:rFonts w:asciiTheme="minorEastAsia" w:eastAsiaTheme="minorEastAsia" w:hAnsiTheme="minorEastAsia" w:cstheme="minorEastAsia"/>
          <w:b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七、参选方式及其他注意事项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b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参选方式：参选人可通过直接送达、邮寄方式投递参选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件参与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比选，参选件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应进行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密封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处理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并在封口处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加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盖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单位公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章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，此外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在封面注明“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湄洲湾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港引航站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2022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年度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办公家具采购项目参选件”。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</w:rPr>
        <w:t>未注明的参选件无效。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本项目不接受联合体参与比选，不得分包。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参选件报送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截止时间：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16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18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00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，以采购人收到参选信件为准。逾期参选件无效。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参选单价不得高于预算单价。</w:t>
      </w:r>
      <w:r>
        <w:rPr>
          <w:rFonts w:asciiTheme="minorEastAsia" w:eastAsiaTheme="minorEastAsia" w:hAnsiTheme="minorEastAsia" w:cstheme="minorEastAsia" w:hint="eastAsia"/>
          <w:b/>
          <w:bCs/>
          <w:kern w:val="2"/>
          <w:sz w:val="24"/>
          <w:szCs w:val="24"/>
        </w:rPr>
        <w:t>任何参选单价高于预算单价的参选件无效。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中选人收到采购人中选通知后，应在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个工作日内提供合同版本，签订采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lastRenderedPageBreak/>
        <w:t>购合同。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参选人应按《办公家具采购项目参选报价单》所确定的材质、规格、数量提供办公家具，并搬运至采购人指定位置、完整安装。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合同履行期间，采购人、中选人的人员和财产安全各自负责。</w:t>
      </w: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联系人：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林明旻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；联系电话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15880277027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059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4-2339960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；邮编：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51100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；地址：福建省莆田市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荔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城区拱辰街道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荔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园中路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918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号海峡商务中心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b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栋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楼。</w:t>
      </w:r>
    </w:p>
    <w:p w:rsidR="008176D1" w:rsidRDefault="00942208">
      <w:pPr>
        <w:widowControl w:val="0"/>
        <w:spacing w:after="0" w:line="570" w:lineRule="exact"/>
        <w:ind w:firstLineChars="196" w:firstLine="47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八、开标时间</w:t>
      </w:r>
      <w:r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及地点</w:t>
      </w:r>
    </w:p>
    <w:p w:rsidR="008176D1" w:rsidRDefault="00942208">
      <w:pPr>
        <w:pStyle w:val="a7"/>
        <w:wordWrap w:val="0"/>
        <w:spacing w:beforeAutospacing="0" w:afterAutospacing="0" w:line="570" w:lineRule="exact"/>
        <w:rPr>
          <w:rFonts w:asciiTheme="minorEastAsia" w:eastAsiaTheme="minorEastAsia" w:hAnsiTheme="minorEastAsia" w:cstheme="minorEastAsia"/>
          <w:kern w:val="2"/>
          <w:szCs w:val="24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</w:rPr>
        <w:t xml:space="preserve">　　</w:t>
      </w:r>
      <w:r>
        <w:rPr>
          <w:rFonts w:ascii="����" w:eastAsia="����" w:hAnsi="����" w:cs="����"/>
          <w:color w:val="333333"/>
          <w:sz w:val="21"/>
          <w:szCs w:val="21"/>
        </w:rPr>
        <w:t> </w:t>
      </w:r>
      <w:r>
        <w:rPr>
          <w:rFonts w:asciiTheme="minorEastAsia" w:eastAsiaTheme="minorEastAsia" w:hAnsiTheme="minorEastAsia" w:cstheme="minorEastAsia"/>
          <w:kern w:val="2"/>
          <w:szCs w:val="24"/>
        </w:rPr>
        <w:t>1</w:t>
      </w:r>
      <w:r>
        <w:rPr>
          <w:rFonts w:asciiTheme="minorEastAsia" w:eastAsiaTheme="minorEastAsia" w:hAnsiTheme="minorEastAsia" w:cstheme="minorEastAsia"/>
          <w:kern w:val="2"/>
          <w:szCs w:val="24"/>
        </w:rPr>
        <w:t>、开标时间：</w:t>
      </w:r>
      <w:r>
        <w:rPr>
          <w:rFonts w:asciiTheme="minorEastAsia" w:eastAsiaTheme="minorEastAsia" w:hAnsiTheme="minorEastAsia" w:cstheme="minorEastAsia"/>
          <w:kern w:val="2"/>
          <w:szCs w:val="24"/>
        </w:rPr>
        <w:t>2022</w:t>
      </w:r>
      <w:r>
        <w:rPr>
          <w:rFonts w:asciiTheme="minorEastAsia" w:eastAsiaTheme="minorEastAsia" w:hAnsiTheme="minorEastAsia" w:cstheme="minorEastAsia"/>
          <w:kern w:val="2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6</w:t>
      </w:r>
      <w:r>
        <w:rPr>
          <w:rFonts w:asciiTheme="minorEastAsia" w:eastAsiaTheme="minorEastAsia" w:hAnsiTheme="minorEastAsia" w:cstheme="minorEastAsia"/>
          <w:kern w:val="2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17</w:t>
      </w:r>
      <w:r>
        <w:rPr>
          <w:rFonts w:asciiTheme="minorEastAsia" w:eastAsiaTheme="minorEastAsia" w:hAnsiTheme="minorEastAsia" w:cstheme="minorEastAsia"/>
          <w:kern w:val="2"/>
          <w:szCs w:val="24"/>
        </w:rPr>
        <w:t>日上午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10</w:t>
      </w:r>
      <w:r>
        <w:rPr>
          <w:rFonts w:asciiTheme="minorEastAsia" w:eastAsiaTheme="minorEastAsia" w:hAnsiTheme="minorEastAsia" w:cstheme="minorEastAsia"/>
          <w:kern w:val="2"/>
          <w:szCs w:val="24"/>
        </w:rPr>
        <w:t>:00</w:t>
      </w:r>
      <w:r>
        <w:rPr>
          <w:rFonts w:asciiTheme="minorEastAsia" w:eastAsiaTheme="minorEastAsia" w:hAnsiTheme="minorEastAsia" w:cstheme="minorEastAsia"/>
          <w:kern w:val="2"/>
          <w:szCs w:val="24"/>
        </w:rPr>
        <w:t>。</w:t>
      </w:r>
    </w:p>
    <w:p w:rsidR="008176D1" w:rsidRDefault="00942208">
      <w:pPr>
        <w:pStyle w:val="a7"/>
        <w:wordWrap w:val="0"/>
        <w:spacing w:beforeAutospacing="0" w:afterAutospacing="0" w:line="570" w:lineRule="exact"/>
        <w:rPr>
          <w:rFonts w:asciiTheme="minorEastAsia" w:eastAsiaTheme="minorEastAsia" w:hAnsiTheme="minorEastAsia" w:cstheme="minorEastAsia"/>
          <w:kern w:val="2"/>
          <w:szCs w:val="24"/>
        </w:rPr>
      </w:pPr>
      <w:r>
        <w:rPr>
          <w:rFonts w:asciiTheme="minorEastAsia" w:eastAsiaTheme="minorEastAsia" w:hAnsiTheme="minorEastAsia" w:cstheme="minorEastAsia"/>
          <w:kern w:val="2"/>
          <w:szCs w:val="24"/>
        </w:rPr>
        <w:t xml:space="preserve">　　</w:t>
      </w:r>
      <w:r>
        <w:rPr>
          <w:rFonts w:asciiTheme="minorEastAsia" w:eastAsiaTheme="minorEastAsia" w:hAnsiTheme="minorEastAsia" w:cstheme="minorEastAsia"/>
          <w:kern w:val="2"/>
          <w:szCs w:val="24"/>
        </w:rPr>
        <w:t>2</w:t>
      </w:r>
      <w:r>
        <w:rPr>
          <w:rFonts w:asciiTheme="minorEastAsia" w:eastAsiaTheme="minorEastAsia" w:hAnsiTheme="minorEastAsia" w:cstheme="minorEastAsia"/>
          <w:kern w:val="2"/>
          <w:szCs w:val="24"/>
        </w:rPr>
        <w:t>、地点：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福建省莆田市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Cs w:val="24"/>
        </w:rPr>
        <w:t>荔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Cs w:val="24"/>
        </w:rPr>
        <w:t>城区拱辰街道</w:t>
      </w:r>
      <w:proofErr w:type="gramStart"/>
      <w:r>
        <w:rPr>
          <w:rFonts w:asciiTheme="minorEastAsia" w:eastAsiaTheme="minorEastAsia" w:hAnsiTheme="minorEastAsia" w:cstheme="minorEastAsia" w:hint="eastAsia"/>
          <w:kern w:val="2"/>
          <w:szCs w:val="24"/>
        </w:rPr>
        <w:t>荔</w:t>
      </w:r>
      <w:proofErr w:type="gramEnd"/>
      <w:r>
        <w:rPr>
          <w:rFonts w:asciiTheme="minorEastAsia" w:eastAsiaTheme="minorEastAsia" w:hAnsiTheme="minorEastAsia" w:cstheme="minorEastAsia" w:hint="eastAsia"/>
          <w:kern w:val="2"/>
          <w:szCs w:val="24"/>
        </w:rPr>
        <w:t>园中路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918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号海峡商务中心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b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栋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kern w:val="2"/>
          <w:szCs w:val="24"/>
        </w:rPr>
        <w:t>楼第二会议室</w:t>
      </w:r>
      <w:r>
        <w:rPr>
          <w:rFonts w:asciiTheme="minorEastAsia" w:eastAsiaTheme="minorEastAsia" w:hAnsiTheme="minorEastAsia" w:cstheme="minorEastAsia"/>
          <w:kern w:val="2"/>
          <w:szCs w:val="24"/>
        </w:rPr>
        <w:t>。</w:t>
      </w:r>
    </w:p>
    <w:p w:rsidR="008176D1" w:rsidRDefault="008176D1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</w:p>
    <w:p w:rsidR="008176D1" w:rsidRDefault="00942208">
      <w:pPr>
        <w:widowControl w:val="0"/>
        <w:spacing w:after="0" w:line="570" w:lineRule="exact"/>
        <w:ind w:firstLineChars="200" w:firstLine="48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附件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参加采购活动前三年内在经营活动中没有重大违法记录书面声明</w:t>
      </w:r>
    </w:p>
    <w:p w:rsidR="008176D1" w:rsidRDefault="00942208">
      <w:pPr>
        <w:widowControl w:val="0"/>
        <w:spacing w:after="0" w:line="570" w:lineRule="exact"/>
        <w:ind w:firstLineChars="500" w:firstLine="1200"/>
        <w:jc w:val="both"/>
        <w:outlineLvl w:val="0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中小企业声明函</w:t>
      </w:r>
    </w:p>
    <w:p w:rsidR="008176D1" w:rsidRDefault="00942208">
      <w:pPr>
        <w:widowControl w:val="0"/>
        <w:spacing w:after="0" w:line="570" w:lineRule="exact"/>
        <w:ind w:firstLineChars="500" w:firstLine="1200"/>
        <w:jc w:val="both"/>
        <w:outlineLvl w:val="0"/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办公家具采购项目参选报价单</w:t>
      </w:r>
    </w:p>
    <w:p w:rsidR="008176D1" w:rsidRDefault="008176D1">
      <w:pPr>
        <w:spacing w:line="570" w:lineRule="exact"/>
        <w:sectPr w:rsidR="008176D1">
          <w:pgSz w:w="11906" w:h="16838"/>
          <w:pgMar w:top="1361" w:right="1701" w:bottom="1389" w:left="1701" w:header="708" w:footer="708" w:gutter="0"/>
          <w:cols w:space="708"/>
          <w:docGrid w:linePitch="360"/>
        </w:sectPr>
      </w:pPr>
    </w:p>
    <w:p w:rsidR="008176D1" w:rsidRDefault="00942208">
      <w:pPr>
        <w:shd w:val="solid" w:color="FFFFFF" w:fill="auto"/>
        <w:autoSpaceDN w:val="0"/>
        <w:spacing w:before="75" w:after="75" w:line="360" w:lineRule="auto"/>
        <w:rPr>
          <w:rFonts w:ascii="宋体" w:eastAsia="宋体" w:hAnsi="宋体" w:cs="宋体"/>
          <w:bCs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sz w:val="24"/>
          <w:shd w:val="clear" w:color="auto" w:fill="FFFFFF"/>
        </w:rPr>
        <w:lastRenderedPageBreak/>
        <w:t>附件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：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jc w:val="center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参加采购活动前三年内在经营活动中没有重大违法记录书面声明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致：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参加采购活动前三年内，我方在经营活动中没有重大违法记录，也无行贿犯罪记录。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特此声明。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★注意：</w:t>
      </w:r>
    </w:p>
    <w:p w:rsidR="008176D1" w:rsidRDefault="00942208">
      <w:pPr>
        <w:shd w:val="solid" w:color="FFFFFF" w:fill="auto"/>
        <w:autoSpaceDN w:val="0"/>
        <w:spacing w:beforeAutospacing="1" w:afterAutospacing="1" w:line="360" w:lineRule="auto"/>
        <w:ind w:rightChars="60" w:right="13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、“重大违法记录”指供应商因违法经营受到刑事处罚或责令停产停业、吊销许可证或执照、较大数额罚款等行政处罚。</w:t>
      </w:r>
    </w:p>
    <w:p w:rsidR="008176D1" w:rsidRDefault="00942208">
      <w:pPr>
        <w:shd w:val="solid" w:color="FFFFFF" w:fill="auto"/>
        <w:autoSpaceDN w:val="0"/>
        <w:spacing w:beforeAutospacing="1" w:afterAutospacing="1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、本声明应为原件。</w:t>
      </w:r>
    </w:p>
    <w:p w:rsidR="008176D1" w:rsidRDefault="00942208">
      <w:pPr>
        <w:shd w:val="solid" w:color="FFFFFF" w:fill="auto"/>
        <w:autoSpaceDN w:val="0"/>
        <w:spacing w:beforeAutospacing="1" w:afterAutospacing="1"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、请供应商根据实际情况如实声明，否则视为提供虚假材料。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供应商：（全称并加盖单位公章）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供应商代表签字：</w:t>
      </w:r>
      <w:r>
        <w:rPr>
          <w:rFonts w:ascii="宋体" w:eastAsia="宋体" w:hAnsi="宋体" w:cs="宋体" w:hint="eastAsia"/>
          <w:sz w:val="24"/>
        </w:rPr>
        <w:t xml:space="preserve">                   </w:t>
      </w:r>
    </w:p>
    <w:p w:rsidR="008176D1" w:rsidRDefault="00942208">
      <w:pPr>
        <w:shd w:val="solid" w:color="FFFFFF" w:fill="auto"/>
        <w:autoSpaceDN w:val="0"/>
        <w:spacing w:before="75" w:after="75" w:line="360" w:lineRule="exact"/>
        <w:ind w:firstLineChars="2200" w:firstLine="52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</w:p>
    <w:p w:rsidR="008176D1" w:rsidRDefault="008176D1">
      <w:pPr>
        <w:shd w:val="solid" w:color="FFFFFF" w:fill="auto"/>
        <w:autoSpaceDN w:val="0"/>
        <w:spacing w:before="75" w:after="75" w:line="360" w:lineRule="auto"/>
        <w:jc w:val="both"/>
        <w:rPr>
          <w:rFonts w:ascii="宋体" w:eastAsia="宋体" w:hAnsi="宋体" w:cs="宋体"/>
          <w:sz w:val="24"/>
        </w:rPr>
        <w:sectPr w:rsidR="008176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76D1" w:rsidRDefault="00942208">
      <w:pPr>
        <w:shd w:val="solid" w:color="FFFFFF" w:fill="auto"/>
        <w:autoSpaceDN w:val="0"/>
        <w:spacing w:before="75" w:after="75" w:line="360" w:lineRule="auto"/>
        <w:rPr>
          <w:rFonts w:ascii="宋体" w:eastAsia="宋体" w:hAnsi="宋体" w:cs="宋体"/>
          <w:bCs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sz w:val="24"/>
          <w:shd w:val="clear" w:color="auto" w:fill="FFFFFF"/>
        </w:rPr>
        <w:lastRenderedPageBreak/>
        <w:t>附件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：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jc w:val="center"/>
        <w:rPr>
          <w:rFonts w:ascii="宋体" w:hAnsi="宋体" w:cs="宋体"/>
          <w:b/>
          <w:sz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hd w:val="clear" w:color="auto" w:fill="FFFFFF"/>
        </w:rPr>
        <w:t>中小企业声明函</w:t>
      </w:r>
    </w:p>
    <w:p w:rsidR="008176D1" w:rsidRDefault="00942208">
      <w:pPr>
        <w:pStyle w:val="a8"/>
        <w:ind w:firstLine="240"/>
        <w:jc w:val="center"/>
        <w:rPr>
          <w:rFonts w:ascii="Tahoma" w:hAnsi="Tahoma" w:hint="default"/>
          <w:szCs w:val="20"/>
        </w:rPr>
      </w:pPr>
      <w:r>
        <w:rPr>
          <w:rFonts w:ascii="Tahoma" w:hAnsi="Tahoma"/>
          <w:szCs w:val="20"/>
        </w:rPr>
        <w:t>（专门面向中小企业或小型、微型企业适用）</w:t>
      </w:r>
    </w:p>
    <w:p w:rsidR="008176D1" w:rsidRDefault="00942208" w:rsidP="00A47D2D">
      <w:pPr>
        <w:pStyle w:val="2"/>
        <w:ind w:left="44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中小企业声明函（货物）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本公司（联合体）郑重声明，根据《政府采购促进中小企业发展管理办法》（财库﹝</w:t>
      </w:r>
      <w:r>
        <w:rPr>
          <w:rFonts w:ascii="宋体" w:eastAsia="宋体" w:hAnsi="宋体" w:cs="宋体"/>
          <w:sz w:val="24"/>
        </w:rPr>
        <w:t>2020</w:t>
      </w:r>
      <w:r>
        <w:rPr>
          <w:rFonts w:ascii="宋体" w:eastAsia="宋体" w:hAnsi="宋体" w:cs="宋体"/>
          <w:sz w:val="24"/>
        </w:rPr>
        <w:t>﹞</w:t>
      </w:r>
      <w:r>
        <w:rPr>
          <w:rFonts w:ascii="宋体" w:eastAsia="宋体" w:hAnsi="宋体" w:cs="宋体"/>
          <w:sz w:val="24"/>
        </w:rPr>
        <w:t>46 </w:t>
      </w:r>
      <w:r>
        <w:rPr>
          <w:rFonts w:ascii="宋体" w:eastAsia="宋体" w:hAnsi="宋体" w:cs="宋体"/>
          <w:sz w:val="24"/>
        </w:rPr>
        <w:t>号）的规定，本公司（联合体）参加</w:t>
      </w:r>
      <w:r>
        <w:rPr>
          <w:rFonts w:ascii="宋体" w:eastAsia="宋体" w:hAnsi="宋体" w:cs="宋体"/>
          <w:sz w:val="24"/>
          <w:u w:val="single"/>
        </w:rPr>
        <w:t>（单位名称）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/>
          <w:sz w:val="24"/>
          <w:u w:val="single"/>
        </w:rPr>
        <w:t>（项目名称）</w:t>
      </w:r>
      <w:r>
        <w:rPr>
          <w:rFonts w:ascii="宋体" w:eastAsia="宋体" w:hAnsi="宋体" w:cs="宋体"/>
          <w:sz w:val="24"/>
        </w:rPr>
        <w:t>采购活动，提供的货物全部由符合政策要求的中小企业制造。相关企业（含联合体中的中小企业、签订分包意向协议的中小企业）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的具体情况如下：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      1.  </w:t>
      </w:r>
      <w:r>
        <w:rPr>
          <w:rFonts w:ascii="宋体" w:eastAsia="宋体" w:hAnsi="宋体" w:cs="宋体"/>
          <w:sz w:val="24"/>
          <w:u w:val="single"/>
        </w:rPr>
        <w:t>（标的名称）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，属于</w:t>
      </w:r>
      <w:r>
        <w:rPr>
          <w:rFonts w:ascii="宋体" w:eastAsia="宋体" w:hAnsi="宋体" w:cs="宋体"/>
          <w:sz w:val="24"/>
          <w:u w:val="single"/>
        </w:rPr>
        <w:t>（采购文件中明确的所属行业）</w:t>
      </w:r>
      <w:r>
        <w:rPr>
          <w:rFonts w:ascii="宋体" w:eastAsia="宋体" w:hAnsi="宋体" w:cs="宋体"/>
          <w:sz w:val="24"/>
        </w:rPr>
        <w:t>行业；制造商为</w:t>
      </w:r>
      <w:r>
        <w:rPr>
          <w:rFonts w:ascii="宋体" w:eastAsia="宋体" w:hAnsi="宋体" w:cs="宋体"/>
          <w:sz w:val="24"/>
          <w:u w:val="single"/>
        </w:rPr>
        <w:t>（企业名称）</w:t>
      </w:r>
      <w:r>
        <w:rPr>
          <w:rFonts w:ascii="宋体" w:eastAsia="宋体" w:hAnsi="宋体" w:cs="宋体"/>
          <w:sz w:val="24"/>
        </w:rPr>
        <w:t>，从业人员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</w:rPr>
        <w:t>人，营业收入为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</w:rPr>
        <w:t>万元，资产总额为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/>
          <w:sz w:val="24"/>
        </w:rPr>
        <w:t>万元</w:t>
      </w:r>
      <w:r>
        <w:rPr>
          <w:rFonts w:ascii="宋体" w:eastAsia="宋体" w:hAnsi="宋体" w:cs="宋体"/>
          <w:sz w:val="24"/>
          <w:vertAlign w:val="superscript"/>
        </w:rPr>
        <w:t>1</w:t>
      </w:r>
      <w:r>
        <w:rPr>
          <w:rFonts w:ascii="宋体" w:eastAsia="宋体" w:hAnsi="宋体" w:cs="宋体"/>
          <w:sz w:val="24"/>
        </w:rPr>
        <w:t>，属于</w:t>
      </w:r>
      <w:r>
        <w:rPr>
          <w:rFonts w:ascii="宋体" w:eastAsia="宋体" w:hAnsi="宋体" w:cs="宋体"/>
          <w:sz w:val="24"/>
          <w:u w:val="single"/>
        </w:rPr>
        <w:t>（中型企业、小型企业、微型企业）</w:t>
      </w:r>
      <w:r>
        <w:rPr>
          <w:rFonts w:ascii="宋体" w:eastAsia="宋体" w:hAnsi="宋体" w:cs="宋体"/>
          <w:sz w:val="24"/>
        </w:rPr>
        <w:t>；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   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 2.  </w:t>
      </w:r>
      <w:r>
        <w:rPr>
          <w:rFonts w:ascii="宋体" w:eastAsia="宋体" w:hAnsi="宋体" w:cs="宋体"/>
          <w:sz w:val="24"/>
          <w:u w:val="single"/>
        </w:rPr>
        <w:t>（标的名称）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属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于</w:t>
      </w:r>
      <w:r>
        <w:rPr>
          <w:rFonts w:ascii="宋体" w:eastAsia="宋体" w:hAnsi="宋体" w:cs="宋体"/>
          <w:sz w:val="24"/>
          <w:u w:val="single"/>
        </w:rPr>
        <w:t> </w:t>
      </w:r>
      <w:r>
        <w:rPr>
          <w:rFonts w:ascii="宋体" w:eastAsia="宋体" w:hAnsi="宋体" w:cs="宋体"/>
          <w:sz w:val="24"/>
          <w:u w:val="single"/>
        </w:rPr>
        <w:t>（采购文件中明确的所属行业</w:t>
      </w:r>
      <w:r>
        <w:rPr>
          <w:rFonts w:ascii="宋体" w:eastAsia="宋体" w:hAnsi="宋体" w:cs="宋体"/>
          <w:sz w:val="24"/>
          <w:u w:val="single"/>
        </w:rPr>
        <w:t> </w:t>
      </w:r>
      <w:r>
        <w:rPr>
          <w:rFonts w:ascii="宋体" w:eastAsia="宋体" w:hAnsi="宋体" w:cs="宋体"/>
          <w:sz w:val="24"/>
          <w:u w:val="single"/>
        </w:rPr>
        <w:t>）</w:t>
      </w:r>
      <w:r>
        <w:rPr>
          <w:rFonts w:ascii="宋体" w:eastAsia="宋体" w:hAnsi="宋体" w:cs="宋体"/>
          <w:sz w:val="24"/>
        </w:rPr>
        <w:t>行业；制造商为</w:t>
      </w:r>
      <w:r>
        <w:rPr>
          <w:rFonts w:ascii="宋体" w:eastAsia="宋体" w:hAnsi="宋体" w:cs="宋体"/>
          <w:sz w:val="24"/>
          <w:u w:val="single"/>
        </w:rPr>
        <w:t>（企业名称）</w:t>
      </w:r>
      <w:r>
        <w:rPr>
          <w:rFonts w:ascii="宋体" w:eastAsia="宋体" w:hAnsi="宋体" w:cs="宋体"/>
          <w:sz w:val="24"/>
        </w:rPr>
        <w:t>，从业人员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</w:rPr>
        <w:t>人，营业收入为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</w:rPr>
        <w:t>万元，资产总额为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</w:rPr>
        <w:t>万元，属于</w:t>
      </w:r>
      <w:r>
        <w:rPr>
          <w:rFonts w:ascii="宋体" w:eastAsia="宋体" w:hAnsi="宋体" w:cs="宋体"/>
          <w:sz w:val="24"/>
          <w:u w:val="single"/>
        </w:rPr>
        <w:t>（中型企业、小型企业、微型企业）</w:t>
      </w:r>
      <w:r>
        <w:rPr>
          <w:rFonts w:ascii="宋体" w:eastAsia="宋体" w:hAnsi="宋体" w:cs="宋体"/>
          <w:sz w:val="24"/>
        </w:rPr>
        <w:t>；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以上企业，不属于大企业的分支机构，不存在控股股东为大企业的情形，也不存在与大企业的负责人为同一人的情形。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    </w:t>
      </w:r>
      <w:r>
        <w:rPr>
          <w:rFonts w:ascii="宋体" w:eastAsia="宋体" w:hAnsi="宋体" w:cs="宋体"/>
          <w:sz w:val="24"/>
        </w:rPr>
        <w:t>本企业对上述声明内容的真实性负责。如有虚假，将依法承担相应责任。</w:t>
      </w:r>
    </w:p>
    <w:p w:rsidR="008176D1" w:rsidRDefault="008176D1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                                                              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企业名称（盖章）：</w:t>
      </w:r>
      <w:r>
        <w:rPr>
          <w:rFonts w:ascii="宋体" w:eastAsia="宋体" w:hAnsi="宋体" w:cs="宋体"/>
          <w:sz w:val="24"/>
        </w:rPr>
        <w:t>        </w:t>
      </w:r>
    </w:p>
    <w:p w:rsidR="008176D1" w:rsidRDefault="00942208" w:rsidP="00A47D2D">
      <w:pPr>
        <w:pStyle w:val="2"/>
        <w:ind w:left="44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                </w:t>
      </w:r>
      <w:r>
        <w:rPr>
          <w:rFonts w:ascii="宋体" w:eastAsia="宋体" w:hAnsi="宋体" w:cs="宋体" w:hint="eastAsia"/>
          <w:sz w:val="24"/>
        </w:rPr>
        <w:t xml:space="preserve">                                </w:t>
      </w:r>
      <w:r>
        <w:rPr>
          <w:rFonts w:ascii="宋体" w:eastAsia="宋体" w:hAnsi="宋体" w:cs="宋体"/>
          <w:sz w:val="24"/>
        </w:rPr>
        <w:t>日期：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</w:p>
    <w:p w:rsidR="008176D1" w:rsidRDefault="00942208" w:rsidP="00A47D2D">
      <w:pPr>
        <w:pStyle w:val="2"/>
        <w:ind w:left="440" w:firstLine="64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Cs w:val="21"/>
        </w:rPr>
        <w:t> </w:t>
      </w:r>
      <w:r>
        <w:rPr>
          <w:rFonts w:ascii="宋体" w:eastAsia="宋体" w:hAnsi="宋体" w:cs="宋体"/>
          <w:sz w:val="24"/>
        </w:rPr>
        <w:t xml:space="preserve">   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从业人员、营业收入、资产总额填报上一年度数据，无上</w:t>
      </w:r>
      <w:proofErr w:type="gramStart"/>
      <w:r>
        <w:rPr>
          <w:rFonts w:ascii="宋体" w:eastAsia="宋体" w:hAnsi="宋体" w:cs="宋体"/>
          <w:sz w:val="21"/>
          <w:szCs w:val="21"/>
        </w:rPr>
        <w:t>一</w:t>
      </w:r>
      <w:proofErr w:type="gramEnd"/>
      <w:r>
        <w:rPr>
          <w:rFonts w:ascii="宋体" w:eastAsia="宋体" w:hAnsi="宋体" w:cs="宋体"/>
          <w:sz w:val="21"/>
          <w:szCs w:val="21"/>
        </w:rPr>
        <w:t>年度数据的新成立企业可不填报。</w:t>
      </w:r>
    </w:p>
    <w:p w:rsidR="008176D1" w:rsidRDefault="008176D1">
      <w:pPr>
        <w:rPr>
          <w:rFonts w:ascii="仿宋_GB2312" w:eastAsia="仿宋_GB2312" w:hAnsi="宋体"/>
          <w:sz w:val="44"/>
          <w:szCs w:val="44"/>
        </w:rPr>
        <w:sectPr w:rsidR="008176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76D1" w:rsidRDefault="00942208">
      <w:pPr>
        <w:shd w:val="solid" w:color="FFFFFF" w:fill="auto"/>
        <w:autoSpaceDN w:val="0"/>
        <w:spacing w:before="75" w:after="75" w:line="360" w:lineRule="auto"/>
        <w:rPr>
          <w:rFonts w:ascii="宋体" w:eastAsia="宋体" w:hAnsi="宋体" w:cs="宋体"/>
          <w:bCs/>
          <w:sz w:val="24"/>
          <w:shd w:val="clear" w:color="auto" w:fill="FFFFFF"/>
        </w:rPr>
      </w:pPr>
      <w:r>
        <w:rPr>
          <w:rFonts w:ascii="宋体" w:eastAsia="宋体" w:hAnsi="宋体" w:cs="宋体" w:hint="eastAsia"/>
          <w:bCs/>
          <w:sz w:val="24"/>
          <w:shd w:val="clear" w:color="auto" w:fill="FFFFFF"/>
        </w:rPr>
        <w:lastRenderedPageBreak/>
        <w:t>附件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3</w:t>
      </w:r>
      <w:r>
        <w:rPr>
          <w:rFonts w:ascii="宋体" w:eastAsia="宋体" w:hAnsi="宋体" w:cs="宋体" w:hint="eastAsia"/>
          <w:bCs/>
          <w:sz w:val="24"/>
          <w:shd w:val="clear" w:color="auto" w:fill="FFFFFF"/>
        </w:rPr>
        <w:t>：</w:t>
      </w:r>
    </w:p>
    <w:p w:rsidR="008176D1" w:rsidRDefault="00942208">
      <w:pPr>
        <w:shd w:val="solid" w:color="FFFFFF" w:fill="auto"/>
        <w:autoSpaceDN w:val="0"/>
        <w:spacing w:before="75" w:after="75" w:line="360" w:lineRule="auto"/>
        <w:jc w:val="center"/>
        <w:rPr>
          <w:rFonts w:ascii="宋体" w:hAnsi="宋体" w:cs="宋体"/>
          <w:b/>
          <w:sz w:val="24"/>
          <w:shd w:val="clear" w:color="auto" w:fill="FFFFFF"/>
        </w:rPr>
      </w:pPr>
      <w:proofErr w:type="gramStart"/>
      <w:r>
        <w:rPr>
          <w:rFonts w:ascii="宋体" w:hAnsi="宋体" w:cs="宋体" w:hint="eastAsia"/>
          <w:b/>
          <w:sz w:val="24"/>
          <w:shd w:val="clear" w:color="auto" w:fill="FFFFFF"/>
        </w:rPr>
        <w:t>湄洲湾</w:t>
      </w:r>
      <w:proofErr w:type="gramEnd"/>
      <w:r>
        <w:rPr>
          <w:rFonts w:ascii="宋体" w:hAnsi="宋体" w:cs="宋体" w:hint="eastAsia"/>
          <w:b/>
          <w:sz w:val="24"/>
          <w:shd w:val="clear" w:color="auto" w:fill="FFFFFF"/>
        </w:rPr>
        <w:t>港引航站</w:t>
      </w:r>
      <w:r>
        <w:rPr>
          <w:rFonts w:ascii="宋体" w:hAnsi="宋体" w:cs="宋体" w:hint="eastAsia"/>
          <w:b/>
          <w:sz w:val="24"/>
          <w:shd w:val="clear" w:color="auto" w:fill="FFFFFF"/>
        </w:rPr>
        <w:t>2022</w:t>
      </w:r>
      <w:r>
        <w:rPr>
          <w:rFonts w:ascii="宋体" w:hAnsi="宋体" w:cs="宋体" w:hint="eastAsia"/>
          <w:b/>
          <w:sz w:val="24"/>
          <w:shd w:val="clear" w:color="auto" w:fill="FFFFFF"/>
        </w:rPr>
        <w:t>年度</w:t>
      </w:r>
      <w:r>
        <w:rPr>
          <w:rFonts w:ascii="宋体" w:hAnsi="宋体" w:cs="宋体" w:hint="eastAsia"/>
          <w:b/>
          <w:sz w:val="24"/>
          <w:shd w:val="clear" w:color="auto" w:fill="FFFFFF"/>
        </w:rPr>
        <w:t>办公家具采购项目参选报价单</w:t>
      </w:r>
    </w:p>
    <w:p w:rsidR="008176D1" w:rsidRDefault="00942208">
      <w:pPr>
        <w:spacing w:after="0" w:line="578" w:lineRule="exac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参选单位：（加盖公章）</w:t>
      </w:r>
      <w:r>
        <w:rPr>
          <w:rFonts w:ascii="宋体" w:eastAsia="宋体" w:hAnsi="宋体" w:cs="宋体" w:hint="eastAsia"/>
          <w:sz w:val="28"/>
          <w:szCs w:val="32"/>
        </w:rPr>
        <w:t xml:space="preserve">                                          </w:t>
      </w:r>
      <w:r>
        <w:rPr>
          <w:rFonts w:ascii="宋体" w:eastAsia="宋体" w:hAnsi="宋体" w:cs="宋体" w:hint="eastAsia"/>
          <w:sz w:val="28"/>
          <w:szCs w:val="32"/>
        </w:rPr>
        <w:t>单位：万元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696"/>
        <w:gridCol w:w="470"/>
        <w:gridCol w:w="3345"/>
        <w:gridCol w:w="2369"/>
        <w:gridCol w:w="468"/>
        <w:gridCol w:w="468"/>
        <w:gridCol w:w="708"/>
        <w:gridCol w:w="696"/>
        <w:gridCol w:w="456"/>
        <w:gridCol w:w="456"/>
        <w:gridCol w:w="456"/>
      </w:tblGrid>
      <w:tr w:rsidR="008176D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品名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材质描述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规格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(mm)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单位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数量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预算价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预算</w:t>
            </w:r>
          </w:p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总价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参选单价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参选总价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spacing w:line="40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备注</w:t>
            </w:r>
          </w:p>
        </w:tc>
      </w:tr>
      <w:tr w:rsidR="008176D1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8176D1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办公桌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油漆：采用优质环保油漆，符合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 18581-2009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标准，苯含量≤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0.3%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，甲苯、二甲苯、乙苯含量总和≤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30%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；基材：采用橡木实木或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E1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级及以上环保中密度板，符合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GB/T11718-2009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标准。经防虫、防腐等化学处理，木材含水率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3-13%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，甲醛释放量＜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9mg/100g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；白乳胶：符合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GB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18583-2008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标准，游离甲醛≤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，苯≤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0.2g/kg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；五金：采用优质五金配件，五金配件紧密拼接，牢固，间隙细小且均匀，平整无毛刺；导轨：符合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QB/T 2454-2013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标准，经耐久性（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40000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次）、垂直向下静载荷（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150N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）、水平侧向静载荷（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75N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）测试，所有组件或连接件无断裂损坏；铰链：符合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QB/T2189-2013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标准，经耐久性（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40000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次）、垂直静载荷（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15kg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）、水平静载荷（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30N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）测试，所有组件或连接件无断裂损坏；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配活动三抽柜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810895</wp:posOffset>
                  </wp:positionV>
                  <wp:extent cx="1367155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69" y="21120"/>
                      <wp:lineTo x="2136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1600*800*760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shd w:val="solid" w:color="FFFFFF" w:fill="auto"/>
              <w:autoSpaceDN w:val="0"/>
              <w:adjustRightInd/>
              <w:snapToGrid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8176D1">
        <w:trPr>
          <w:trHeight w:val="3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办公椅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海绵：采用优质海绵，拉伸强度≥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100kPa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，伸长率≥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100%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，回弹率≥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35%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，撕裂强度≥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1.8N/cm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，干热老化后拉伸强度≥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55kPa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，湿热老化后拉伸强度≥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55kPa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，泡沫塑料表观密度≥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40kg/m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³；脚轮：座面垂直加载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113kg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，有障碍测试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2000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次无损，无障碍测试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28000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次无损；扶手：采用优质塑胶扶手，表面无裂纹，无变形，无锁孔、气泡、杂质、伤痕；五金：采用优质五金配件，五金配件紧密拼接，牢固，间隙细小且均匀，平整无毛刺；网布：符合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GB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18401-2010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标准，采用优质尼龙网布，耐磨、抗污、防褪色，甲醛含量≤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300mg/kg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；气压棒：符合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GB/T29525-2013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涂渡层</w:t>
            </w:r>
            <w:proofErr w:type="gramEnd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均匀、表面光洁，无伤痕、脱皮、起泡、麻点、针孔、结瘤等缺陷，气弹簧锁定在任意位置，经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72h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常温储存，活塞杆无位移；底盘机构：符合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GB/T3325-2008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标准，表面无裂纹、锁孔、气泡、杂质、伤痕等现象，涂层光滑均匀，色泽一致；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highlight w:val="red"/>
              </w:rPr>
            </w:pPr>
          </w:p>
          <w:p w:rsidR="008176D1" w:rsidRDefault="008176D1">
            <w:pPr>
              <w:adjustRightInd/>
              <w:snapToGrid/>
              <w:spacing w:after="0"/>
              <w:jc w:val="center"/>
              <w:rPr>
                <w:highlight w:val="red"/>
              </w:rPr>
            </w:pPr>
          </w:p>
          <w:p w:rsidR="008176D1" w:rsidRDefault="00942208">
            <w:pPr>
              <w:pStyle w:val="a0"/>
              <w:jc w:val="center"/>
              <w:rPr>
                <w:rFonts w:eastAsia="宋体" w:cs="宋体" w:hint="default"/>
                <w:shd w:val="clear" w:color="auto" w:fill="FFFFFF"/>
              </w:rPr>
            </w:pPr>
            <w:r>
              <w:rPr>
                <w:rFonts w:eastAsia="宋体" w:cs="宋体"/>
                <w:shd w:val="clear" w:color="auto" w:fill="FFFFFF"/>
              </w:rPr>
              <w:t>常规</w:t>
            </w:r>
          </w:p>
          <w:p w:rsidR="008176D1" w:rsidRDefault="00942208">
            <w:pPr>
              <w:pStyle w:val="a0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270000" cy="1270635"/>
                  <wp:effectExtent l="0" t="0" r="6350" b="5715"/>
                  <wp:docPr id="3" name="图片 3" descr="4566f23b4673d3d92f501be7349b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66f23b4673d3d92f501be7349b2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8176D1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文件柜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材质：冷轧钢、钢制柜体、静电喷塑；颜色：灰白色；厚度≥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0.8mm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分五节文件柜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ind w:firstLineChars="100" w:firstLine="24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860*400*1980</w:t>
            </w:r>
          </w:p>
          <w:p w:rsidR="008176D1" w:rsidRDefault="00942208">
            <w:pPr>
              <w:pStyle w:val="a0"/>
              <w:jc w:val="center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>
                  <wp:extent cx="1295400" cy="2152015"/>
                  <wp:effectExtent l="0" t="0" r="0" b="635"/>
                  <wp:docPr id="5" name="图片 5" descr="bcd71a88fd73c73a4fbd17c031a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cd71a88fd73c73a4fbd17c031abfc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个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8176D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文件柜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材质：冷轧钢、钢制柜体、静电喷塑；颜色：灰白色；厚度≥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0.8mm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偏五斗</w:t>
            </w:r>
            <w:proofErr w:type="gramEnd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铁皮柜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ind w:firstLineChars="100" w:firstLine="24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860*400*1800</w:t>
            </w:r>
          </w:p>
          <w:p w:rsidR="008176D1" w:rsidRDefault="00942208">
            <w:pPr>
              <w:pStyle w:val="a0"/>
              <w:jc w:val="center"/>
              <w:rPr>
                <w:rFonts w:hint="default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290320" cy="1704340"/>
                  <wp:effectExtent l="0" t="0" r="5080" b="10160"/>
                  <wp:docPr id="4" name="图片 4" descr="e3b2e949b00814ba8fc553a16dc74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3b2e949b00814ba8fc553a16dc745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lastRenderedPageBreak/>
              <w:t>个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</w:rPr>
            </w:pPr>
          </w:p>
        </w:tc>
      </w:tr>
      <w:tr w:rsidR="008176D1">
        <w:trPr>
          <w:trHeight w:val="2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沙发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面材：优质头层牛皮，满足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GB/T16799-2018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GB/20400-2006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标准，撕裂力≥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60N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，气味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2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级、干摩擦（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500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次）色牢度≥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4-5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级，湿摩擦（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250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次）色牢度≥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3-4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级，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PH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值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3.5-6.0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，挥发性有机物（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VOC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）检测合格，涂层粘着牢度≥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2.5N/10mm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，耐折牢度检测无裂纹，未检出可萃取重金属和游离甲醛。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框架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: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优质实木，满足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GB18584-2001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GB/T1931-2009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标准，甲醛释放量≤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1.5mg/L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，含水率≤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16%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海绵：满足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GB/8624-2012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GB/T10802-2006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标准。感官要求（色泽、气孔、裂缝、两侧表皮、污染、气味）全部检测符合标准，等级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93N25%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压陷硬度≥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90N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65%/25%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压陷比</w:t>
            </w:r>
            <w:proofErr w:type="gramEnd"/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1.8,75%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压缩永久变形≤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，回弹率≥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，拉伸强度≥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160Kpa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，伸长率≥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150%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，撕裂强度≥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3.1N/cm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，干热老化后拉伸强度≥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190Kpa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；燃烧性能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阻燃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1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级；热释放速率峰值≤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400KW/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㎡，平均燃烧时间≤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20S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，平均燃烧高度≤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195mm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，且经过香烟抗引燃特性试验达到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级。表观密度≥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60kg/m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未检出游离甲醛。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水性油漆：满足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GB24410-2009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标准，挥发性有机物≤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5g/L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、游离甲醛≤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5mg/kg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、苯系物含量≤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50mg/kg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，乙二醇醚及其酯类含量≤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50mg/kg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。</w:t>
            </w:r>
          </w:p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弹簧为经淬火处理过的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70#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合金钢，保证了沙发经久耐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lastRenderedPageBreak/>
              <w:t>用，不变形的优良品质。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lastRenderedPageBreak/>
              <w:t>单人位</w:t>
            </w:r>
          </w:p>
          <w:p w:rsidR="008176D1" w:rsidRDefault="00942208">
            <w:pPr>
              <w:pStyle w:val="a0"/>
              <w:jc w:val="center"/>
              <w:rPr>
                <w:rFonts w:hint="default"/>
              </w:rPr>
            </w:pPr>
            <w:r>
              <w:t>1200*880*900</w:t>
            </w:r>
          </w:p>
          <w:p w:rsidR="008176D1" w:rsidRDefault="00942208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285875" cy="972820"/>
                  <wp:effectExtent l="0" t="0" r="9525" b="17780"/>
                  <wp:docPr id="1" name="图片 1" descr="e3e25617ef9bd20679c2ac55387b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e25617ef9bd20679c2ac55387b9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539" b="28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0.6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</w:tr>
      <w:tr w:rsidR="008176D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lastRenderedPageBreak/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94220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2.85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6D1" w:rsidRDefault="008176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</w:p>
        </w:tc>
      </w:tr>
    </w:tbl>
    <w:p w:rsidR="008176D1" w:rsidRDefault="008176D1">
      <w:pPr>
        <w:adjustRightInd/>
        <w:snapToGrid/>
        <w:spacing w:after="0"/>
        <w:rPr>
          <w:rFonts w:ascii="宋体" w:eastAsia="宋体" w:hAnsi="宋体" w:cs="宋体"/>
          <w:sz w:val="24"/>
          <w:shd w:val="clear" w:color="auto" w:fill="FFFFFF"/>
        </w:rPr>
      </w:pPr>
    </w:p>
    <w:p w:rsidR="008176D1" w:rsidRDefault="00942208">
      <w:pPr>
        <w:adjustRightInd/>
        <w:snapToGrid/>
        <w:spacing w:after="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联系人：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联系电话：</w:t>
      </w:r>
    </w:p>
    <w:p w:rsidR="008176D1" w:rsidRDefault="008176D1"/>
    <w:sectPr w:rsidR="00817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08" w:rsidRDefault="00942208">
      <w:r>
        <w:separator/>
      </w:r>
    </w:p>
  </w:endnote>
  <w:endnote w:type="continuationSeparator" w:id="0">
    <w:p w:rsidR="00942208" w:rsidRDefault="009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08" w:rsidRDefault="00942208">
      <w:pPr>
        <w:spacing w:after="0"/>
      </w:pPr>
      <w:r>
        <w:separator/>
      </w:r>
    </w:p>
  </w:footnote>
  <w:footnote w:type="continuationSeparator" w:id="0">
    <w:p w:rsidR="00942208" w:rsidRDefault="009422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zZhYzA1OWI4Zjc0ZGQ5NTliOTg5ZTgzNTYyMjUifQ=="/>
  </w:docVars>
  <w:rsids>
    <w:rsidRoot w:val="00D31D50"/>
    <w:rsid w:val="000076C4"/>
    <w:rsid w:val="00014572"/>
    <w:rsid w:val="0001486E"/>
    <w:rsid w:val="000267F5"/>
    <w:rsid w:val="00026901"/>
    <w:rsid w:val="000306C4"/>
    <w:rsid w:val="00054604"/>
    <w:rsid w:val="000578AE"/>
    <w:rsid w:val="0009198E"/>
    <w:rsid w:val="00092B59"/>
    <w:rsid w:val="000A1573"/>
    <w:rsid w:val="000B0DE3"/>
    <w:rsid w:val="000B1585"/>
    <w:rsid w:val="000C2ECC"/>
    <w:rsid w:val="000C615E"/>
    <w:rsid w:val="000E2E2B"/>
    <w:rsid w:val="000E2FBE"/>
    <w:rsid w:val="000E309F"/>
    <w:rsid w:val="000F22E8"/>
    <w:rsid w:val="000F7575"/>
    <w:rsid w:val="000F7666"/>
    <w:rsid w:val="00117F7D"/>
    <w:rsid w:val="00125C55"/>
    <w:rsid w:val="001307E0"/>
    <w:rsid w:val="00141217"/>
    <w:rsid w:val="001446E3"/>
    <w:rsid w:val="00150C37"/>
    <w:rsid w:val="00153A07"/>
    <w:rsid w:val="00157350"/>
    <w:rsid w:val="00173349"/>
    <w:rsid w:val="00177B9D"/>
    <w:rsid w:val="00181559"/>
    <w:rsid w:val="0018559C"/>
    <w:rsid w:val="001859C9"/>
    <w:rsid w:val="001907D6"/>
    <w:rsid w:val="001A1B6A"/>
    <w:rsid w:val="001A5A7B"/>
    <w:rsid w:val="001B1771"/>
    <w:rsid w:val="001B463B"/>
    <w:rsid w:val="001B73FE"/>
    <w:rsid w:val="001E2424"/>
    <w:rsid w:val="001E46FD"/>
    <w:rsid w:val="001E69C4"/>
    <w:rsid w:val="001F5834"/>
    <w:rsid w:val="0022081D"/>
    <w:rsid w:val="00232EC2"/>
    <w:rsid w:val="0024202C"/>
    <w:rsid w:val="002528B2"/>
    <w:rsid w:val="0026497C"/>
    <w:rsid w:val="00264F51"/>
    <w:rsid w:val="002650F0"/>
    <w:rsid w:val="0027182E"/>
    <w:rsid w:val="00276154"/>
    <w:rsid w:val="002857B3"/>
    <w:rsid w:val="00290048"/>
    <w:rsid w:val="00294A8A"/>
    <w:rsid w:val="00297F5A"/>
    <w:rsid w:val="002A0C09"/>
    <w:rsid w:val="002B62DA"/>
    <w:rsid w:val="002C3CE0"/>
    <w:rsid w:val="002D7211"/>
    <w:rsid w:val="002E1129"/>
    <w:rsid w:val="002F5DAA"/>
    <w:rsid w:val="003036D2"/>
    <w:rsid w:val="00305B2C"/>
    <w:rsid w:val="00314091"/>
    <w:rsid w:val="003204C4"/>
    <w:rsid w:val="00323B43"/>
    <w:rsid w:val="00336EB5"/>
    <w:rsid w:val="0035354A"/>
    <w:rsid w:val="00356CA7"/>
    <w:rsid w:val="00360E48"/>
    <w:rsid w:val="003820B2"/>
    <w:rsid w:val="003B52D6"/>
    <w:rsid w:val="003B757B"/>
    <w:rsid w:val="003C207C"/>
    <w:rsid w:val="003D37D8"/>
    <w:rsid w:val="003E432C"/>
    <w:rsid w:val="003E49E5"/>
    <w:rsid w:val="00401A00"/>
    <w:rsid w:val="00407621"/>
    <w:rsid w:val="004104CA"/>
    <w:rsid w:val="004159EB"/>
    <w:rsid w:val="004208FF"/>
    <w:rsid w:val="00426133"/>
    <w:rsid w:val="00434DF2"/>
    <w:rsid w:val="004358AB"/>
    <w:rsid w:val="00445B9B"/>
    <w:rsid w:val="00463FCB"/>
    <w:rsid w:val="00472D53"/>
    <w:rsid w:val="004850E9"/>
    <w:rsid w:val="0049259C"/>
    <w:rsid w:val="004A75C9"/>
    <w:rsid w:val="004B6939"/>
    <w:rsid w:val="004C4A20"/>
    <w:rsid w:val="004C6E4E"/>
    <w:rsid w:val="004F6FF2"/>
    <w:rsid w:val="005142B3"/>
    <w:rsid w:val="00531E30"/>
    <w:rsid w:val="0054464A"/>
    <w:rsid w:val="00571552"/>
    <w:rsid w:val="00577305"/>
    <w:rsid w:val="005810DE"/>
    <w:rsid w:val="005C14C7"/>
    <w:rsid w:val="005C5F4C"/>
    <w:rsid w:val="005D29EF"/>
    <w:rsid w:val="005D4456"/>
    <w:rsid w:val="005D666D"/>
    <w:rsid w:val="005F1C24"/>
    <w:rsid w:val="00606E57"/>
    <w:rsid w:val="00607BFC"/>
    <w:rsid w:val="0061187A"/>
    <w:rsid w:val="00622C85"/>
    <w:rsid w:val="00630A3E"/>
    <w:rsid w:val="00645E6C"/>
    <w:rsid w:val="00660C23"/>
    <w:rsid w:val="006936F7"/>
    <w:rsid w:val="006A0ACA"/>
    <w:rsid w:val="006B1CD9"/>
    <w:rsid w:val="006B7581"/>
    <w:rsid w:val="006C1BFE"/>
    <w:rsid w:val="006C2109"/>
    <w:rsid w:val="006E1D53"/>
    <w:rsid w:val="006E401C"/>
    <w:rsid w:val="006E59E2"/>
    <w:rsid w:val="00700084"/>
    <w:rsid w:val="00736D94"/>
    <w:rsid w:val="007401F3"/>
    <w:rsid w:val="0074048A"/>
    <w:rsid w:val="00740E9B"/>
    <w:rsid w:val="007473C1"/>
    <w:rsid w:val="00754696"/>
    <w:rsid w:val="007866A6"/>
    <w:rsid w:val="00786AB0"/>
    <w:rsid w:val="00787096"/>
    <w:rsid w:val="007A294F"/>
    <w:rsid w:val="007C789B"/>
    <w:rsid w:val="007E728A"/>
    <w:rsid w:val="007F1AD3"/>
    <w:rsid w:val="00813086"/>
    <w:rsid w:val="008176D1"/>
    <w:rsid w:val="0083251F"/>
    <w:rsid w:val="00842242"/>
    <w:rsid w:val="00844B7C"/>
    <w:rsid w:val="00852057"/>
    <w:rsid w:val="008561FA"/>
    <w:rsid w:val="008605C8"/>
    <w:rsid w:val="00870C6B"/>
    <w:rsid w:val="008A268D"/>
    <w:rsid w:val="008B7726"/>
    <w:rsid w:val="008C6596"/>
    <w:rsid w:val="008F033D"/>
    <w:rsid w:val="008F5952"/>
    <w:rsid w:val="008F76DF"/>
    <w:rsid w:val="0091663C"/>
    <w:rsid w:val="00924B7C"/>
    <w:rsid w:val="00942208"/>
    <w:rsid w:val="00947CC8"/>
    <w:rsid w:val="0095454C"/>
    <w:rsid w:val="00970302"/>
    <w:rsid w:val="009C09AA"/>
    <w:rsid w:val="009C6DDA"/>
    <w:rsid w:val="009C6E93"/>
    <w:rsid w:val="009D3B0C"/>
    <w:rsid w:val="009E7EBB"/>
    <w:rsid w:val="00A25F9F"/>
    <w:rsid w:val="00A47D2D"/>
    <w:rsid w:val="00A627E5"/>
    <w:rsid w:val="00A70E85"/>
    <w:rsid w:val="00A733F3"/>
    <w:rsid w:val="00A77A4D"/>
    <w:rsid w:val="00A82250"/>
    <w:rsid w:val="00A93B04"/>
    <w:rsid w:val="00A9593B"/>
    <w:rsid w:val="00AA763B"/>
    <w:rsid w:val="00AB5316"/>
    <w:rsid w:val="00AB6FD3"/>
    <w:rsid w:val="00AC693E"/>
    <w:rsid w:val="00AE64D5"/>
    <w:rsid w:val="00B00A37"/>
    <w:rsid w:val="00B01CFB"/>
    <w:rsid w:val="00B022F1"/>
    <w:rsid w:val="00B258E0"/>
    <w:rsid w:val="00B63BA2"/>
    <w:rsid w:val="00B63D4D"/>
    <w:rsid w:val="00B65F7F"/>
    <w:rsid w:val="00B816EC"/>
    <w:rsid w:val="00B94443"/>
    <w:rsid w:val="00BC02C3"/>
    <w:rsid w:val="00BC1786"/>
    <w:rsid w:val="00BC3915"/>
    <w:rsid w:val="00BC3BD4"/>
    <w:rsid w:val="00BD04F4"/>
    <w:rsid w:val="00BD7B96"/>
    <w:rsid w:val="00BE519A"/>
    <w:rsid w:val="00BF5121"/>
    <w:rsid w:val="00C056B3"/>
    <w:rsid w:val="00C05AF7"/>
    <w:rsid w:val="00C125FB"/>
    <w:rsid w:val="00C2054F"/>
    <w:rsid w:val="00C23C26"/>
    <w:rsid w:val="00C33F60"/>
    <w:rsid w:val="00C56721"/>
    <w:rsid w:val="00C71A1C"/>
    <w:rsid w:val="00C7334C"/>
    <w:rsid w:val="00C94B6D"/>
    <w:rsid w:val="00C97538"/>
    <w:rsid w:val="00CB1646"/>
    <w:rsid w:val="00CB24A1"/>
    <w:rsid w:val="00CC1D21"/>
    <w:rsid w:val="00CC5443"/>
    <w:rsid w:val="00CC6E97"/>
    <w:rsid w:val="00CD6D28"/>
    <w:rsid w:val="00CE432D"/>
    <w:rsid w:val="00CF2482"/>
    <w:rsid w:val="00CF3973"/>
    <w:rsid w:val="00D0428F"/>
    <w:rsid w:val="00D0728B"/>
    <w:rsid w:val="00D14EB0"/>
    <w:rsid w:val="00D15A4E"/>
    <w:rsid w:val="00D262BB"/>
    <w:rsid w:val="00D31D50"/>
    <w:rsid w:val="00D33EAB"/>
    <w:rsid w:val="00D45EF2"/>
    <w:rsid w:val="00D5645D"/>
    <w:rsid w:val="00D61D31"/>
    <w:rsid w:val="00D916F0"/>
    <w:rsid w:val="00DA3225"/>
    <w:rsid w:val="00DA6858"/>
    <w:rsid w:val="00DB0465"/>
    <w:rsid w:val="00DC7B0B"/>
    <w:rsid w:val="00DD7BEF"/>
    <w:rsid w:val="00DE1553"/>
    <w:rsid w:val="00DE65D4"/>
    <w:rsid w:val="00E028AF"/>
    <w:rsid w:val="00E036EF"/>
    <w:rsid w:val="00E07B9E"/>
    <w:rsid w:val="00E11C76"/>
    <w:rsid w:val="00E16B04"/>
    <w:rsid w:val="00E21DDA"/>
    <w:rsid w:val="00E450E2"/>
    <w:rsid w:val="00E4643F"/>
    <w:rsid w:val="00E50008"/>
    <w:rsid w:val="00E949CF"/>
    <w:rsid w:val="00E9769E"/>
    <w:rsid w:val="00E97CDC"/>
    <w:rsid w:val="00EB14A1"/>
    <w:rsid w:val="00EB524C"/>
    <w:rsid w:val="00EB5F23"/>
    <w:rsid w:val="00EC2271"/>
    <w:rsid w:val="00EC3D26"/>
    <w:rsid w:val="00EC432C"/>
    <w:rsid w:val="00ED6AA2"/>
    <w:rsid w:val="00EF00E6"/>
    <w:rsid w:val="00F02E2C"/>
    <w:rsid w:val="00F10532"/>
    <w:rsid w:val="00F33043"/>
    <w:rsid w:val="00F37F29"/>
    <w:rsid w:val="00F530C7"/>
    <w:rsid w:val="00F63BC7"/>
    <w:rsid w:val="00F70812"/>
    <w:rsid w:val="00FA5D4A"/>
    <w:rsid w:val="00FD1650"/>
    <w:rsid w:val="00FF1F93"/>
    <w:rsid w:val="00FF3171"/>
    <w:rsid w:val="00FF7E4C"/>
    <w:rsid w:val="01950FCA"/>
    <w:rsid w:val="02B01361"/>
    <w:rsid w:val="058608ED"/>
    <w:rsid w:val="06CA1C85"/>
    <w:rsid w:val="08406CE4"/>
    <w:rsid w:val="08431A3B"/>
    <w:rsid w:val="08AA5898"/>
    <w:rsid w:val="09A11527"/>
    <w:rsid w:val="0A2A163C"/>
    <w:rsid w:val="0ACF33A9"/>
    <w:rsid w:val="0B15477B"/>
    <w:rsid w:val="0DED346A"/>
    <w:rsid w:val="11AE5258"/>
    <w:rsid w:val="123F625E"/>
    <w:rsid w:val="12464F87"/>
    <w:rsid w:val="16E02243"/>
    <w:rsid w:val="188C41B4"/>
    <w:rsid w:val="1956138C"/>
    <w:rsid w:val="1D457C27"/>
    <w:rsid w:val="1F6F35DC"/>
    <w:rsid w:val="1FF1373D"/>
    <w:rsid w:val="2392538B"/>
    <w:rsid w:val="23A42564"/>
    <w:rsid w:val="243479EB"/>
    <w:rsid w:val="2A746FBB"/>
    <w:rsid w:val="2A7C7087"/>
    <w:rsid w:val="2B810A88"/>
    <w:rsid w:val="2C300C99"/>
    <w:rsid w:val="2F8556B6"/>
    <w:rsid w:val="2F950E14"/>
    <w:rsid w:val="31CD6D3E"/>
    <w:rsid w:val="31F11479"/>
    <w:rsid w:val="337F42B4"/>
    <w:rsid w:val="35AC585D"/>
    <w:rsid w:val="387737AC"/>
    <w:rsid w:val="3883188D"/>
    <w:rsid w:val="3A3064DA"/>
    <w:rsid w:val="3C624D6E"/>
    <w:rsid w:val="3C6C71E3"/>
    <w:rsid w:val="3C747412"/>
    <w:rsid w:val="3CCF005B"/>
    <w:rsid w:val="3EA33702"/>
    <w:rsid w:val="3EC51715"/>
    <w:rsid w:val="3F0A7F2D"/>
    <w:rsid w:val="3F4940F4"/>
    <w:rsid w:val="3FA95343"/>
    <w:rsid w:val="3FFB4CC3"/>
    <w:rsid w:val="40574FDC"/>
    <w:rsid w:val="414F12C2"/>
    <w:rsid w:val="42D00689"/>
    <w:rsid w:val="439C4054"/>
    <w:rsid w:val="4431338E"/>
    <w:rsid w:val="452D5CD9"/>
    <w:rsid w:val="464B1EA5"/>
    <w:rsid w:val="46F2217B"/>
    <w:rsid w:val="479B6CA7"/>
    <w:rsid w:val="48D30779"/>
    <w:rsid w:val="49771007"/>
    <w:rsid w:val="4A297EBD"/>
    <w:rsid w:val="4BA94253"/>
    <w:rsid w:val="4C403CDD"/>
    <w:rsid w:val="4D526B76"/>
    <w:rsid w:val="5534338A"/>
    <w:rsid w:val="56C92B8B"/>
    <w:rsid w:val="5AF861BC"/>
    <w:rsid w:val="5C4A2E02"/>
    <w:rsid w:val="5D4569AE"/>
    <w:rsid w:val="5EA30AD3"/>
    <w:rsid w:val="5EE757E8"/>
    <w:rsid w:val="5F4B5724"/>
    <w:rsid w:val="61EA1238"/>
    <w:rsid w:val="63D606CC"/>
    <w:rsid w:val="64DF08EB"/>
    <w:rsid w:val="655B1BDC"/>
    <w:rsid w:val="65644F35"/>
    <w:rsid w:val="669730E8"/>
    <w:rsid w:val="66A2724B"/>
    <w:rsid w:val="68EA2684"/>
    <w:rsid w:val="6D6F6355"/>
    <w:rsid w:val="6F0B2A24"/>
    <w:rsid w:val="72CD7028"/>
    <w:rsid w:val="782E61C7"/>
    <w:rsid w:val="79716072"/>
    <w:rsid w:val="798318F2"/>
    <w:rsid w:val="7A0559C3"/>
    <w:rsid w:val="7D3C7C32"/>
    <w:rsid w:val="7F1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 w:hAnsi="宋体" w:hint="eastAsia"/>
      <w:color w:val="000000"/>
      <w:sz w:val="24"/>
    </w:rPr>
  </w:style>
  <w:style w:type="paragraph" w:styleId="a4">
    <w:name w:val="Body Text Indent"/>
    <w:basedOn w:val="a"/>
    <w:uiPriority w:val="99"/>
    <w:qFormat/>
    <w:pPr>
      <w:ind w:left="420"/>
    </w:pPr>
    <w:rPr>
      <w:rFonts w:ascii="仿宋_GB2312" w:eastAsia="仿宋_GB2312"/>
      <w:sz w:val="32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2">
    <w:name w:val="Body Text First Indent 2"/>
    <w:basedOn w:val="a4"/>
    <w:qFormat/>
    <w:pPr>
      <w:spacing w:after="120"/>
      <w:ind w:leftChars="200" w:left="200" w:firstLineChars="200" w:firstLine="420"/>
    </w:pPr>
    <w:rPr>
      <w:rFonts w:ascii="Times New Roman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ahoma" w:hAnsi="Tahoma"/>
      <w:sz w:val="18"/>
      <w:szCs w:val="18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 w:hAnsi="宋体" w:hint="eastAsia"/>
      <w:color w:val="000000"/>
      <w:sz w:val="24"/>
    </w:rPr>
  </w:style>
  <w:style w:type="paragraph" w:styleId="a4">
    <w:name w:val="Body Text Indent"/>
    <w:basedOn w:val="a"/>
    <w:uiPriority w:val="99"/>
    <w:qFormat/>
    <w:pPr>
      <w:ind w:left="420"/>
    </w:pPr>
    <w:rPr>
      <w:rFonts w:ascii="仿宋_GB2312" w:eastAsia="仿宋_GB2312"/>
      <w:sz w:val="32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宋体"/>
      <w:szCs w:val="21"/>
    </w:rPr>
  </w:style>
  <w:style w:type="paragraph" w:styleId="2">
    <w:name w:val="Body Text First Indent 2"/>
    <w:basedOn w:val="a4"/>
    <w:qFormat/>
    <w:pPr>
      <w:spacing w:after="120"/>
      <w:ind w:leftChars="200" w:left="200" w:firstLineChars="200" w:firstLine="420"/>
    </w:pPr>
    <w:rPr>
      <w:rFonts w:ascii="Times New Roman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ahoma" w:hAnsi="Tahoma"/>
      <w:sz w:val="18"/>
      <w:szCs w:val="18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BEFB-6A60-47B5-BC66-A47243FF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654</Words>
  <Characters>3730</Characters>
  <Application>Microsoft Office Word</Application>
  <DocSecurity>0</DocSecurity>
  <Lines>31</Lines>
  <Paragraphs>8</Paragraphs>
  <ScaleCrop>false</ScaleCrop>
  <Company>P R C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赖金水</dc:creator>
  <cp:lastModifiedBy>test327</cp:lastModifiedBy>
  <cp:revision>2</cp:revision>
  <cp:lastPrinted>2019-03-27T01:32:00Z</cp:lastPrinted>
  <dcterms:created xsi:type="dcterms:W3CDTF">2022-07-20T01:55:00Z</dcterms:created>
  <dcterms:modified xsi:type="dcterms:W3CDTF">2022-07-20T01:55:00Z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3D6DA192E1244B8B9EB5D4156D859865</vt:lpwstr>
  </property>
</Properties>
</file>