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snapToGrid w:val="0"/>
        <w:spacing w:before="680" w:beforeAutospacing="0" w:after="632" w:afterAutospacing="0" w:line="400" w:lineRule="atLeast"/>
        <w:ind w:left="1726" w:right="226" w:firstLine="720" w:firstLineChars="300"/>
        <w:jc w:val="left"/>
        <w:rPr>
          <w:rFonts w:hint="eastAsia" w:eastAsia="微软雅黑"/>
          <w:lang w:eastAsia="zh-CN"/>
        </w:rPr>
      </w:pPr>
      <w:bookmarkStart w:id="1" w:name="_GoBack"/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  <w:t>福建省湄洲湾港口</w:t>
      </w: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  <w:lang w:eastAsia="zh-CN"/>
        </w:rPr>
        <w:t>发展中心</w:t>
      </w:r>
    </w:p>
    <w:p>
      <w:pPr>
        <w:pStyle w:val="3"/>
        <w:keepNext w:val="0"/>
        <w:keepLines w:val="0"/>
        <w:widowControl/>
        <w:suppressLineNumbers w:val="0"/>
        <w:snapToGrid w:val="0"/>
        <w:spacing w:before="680" w:beforeAutospacing="0" w:after="632" w:afterAutospacing="0" w:line="400" w:lineRule="atLeast"/>
        <w:ind w:right="226"/>
        <w:jc w:val="center"/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</w:pP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  <w:t>福建省湄洲湾港口</w:t>
      </w: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  <w:lang w:eastAsia="zh-CN"/>
        </w:rPr>
        <w:t>发展中心</w:t>
      </w: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  <w:lang w:val="en-US" w:eastAsia="zh-CN"/>
        </w:rPr>
        <w:t>OA及门户网站维护</w:t>
      </w: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  <w:t>项目比选公告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</w:pPr>
      <w:r>
        <w:rPr>
          <w:rStyle w:val="6"/>
          <w:rFonts w:hint="eastAsia" w:ascii="宋体" w:hAnsi="宋体" w:eastAsia="宋体" w:cs="宋体"/>
          <w:spacing w:val="0"/>
          <w:sz w:val="24"/>
          <w:szCs w:val="24"/>
        </w:rPr>
        <w:t>采购内容及要求</w:t>
      </w:r>
    </w:p>
    <w:bookmarkEnd w:id="1"/>
    <w:p>
      <w:pPr>
        <w:pStyle w:val="19"/>
        <w:spacing w:line="440" w:lineRule="exact"/>
        <w:outlineLvl w:val="9"/>
        <w:rPr>
          <w:rFonts w:hint="eastAsia" w:ascii="宋体" w:hAnsi="宋体" w:eastAsia="宋体" w:cs="宋体"/>
          <w:b/>
          <w:sz w:val="24"/>
          <w:szCs w:val="24"/>
        </w:rPr>
      </w:pPr>
      <w:bookmarkStart w:id="0" w:name="_Toc302996341"/>
      <w:r>
        <w:rPr>
          <w:rFonts w:hint="eastAsia" w:ascii="宋体" w:hAnsi="宋体" w:eastAsia="宋体" w:cs="宋体"/>
          <w:b/>
          <w:sz w:val="24"/>
          <w:szCs w:val="24"/>
        </w:rPr>
        <w:t>一、概述</w:t>
      </w:r>
      <w:bookmarkEnd w:id="0"/>
    </w:p>
    <w:p>
      <w:pPr>
        <w:pStyle w:val="2"/>
        <w:spacing w:line="36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本次项目为湄洲湾港口发展中心OA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、门户</w:t>
      </w:r>
      <w:r>
        <w:rPr>
          <w:rFonts w:hint="eastAsia" w:ascii="宋体" w:hAnsi="宋体" w:eastAsia="宋体" w:cs="宋体"/>
          <w:sz w:val="24"/>
          <w:szCs w:val="24"/>
        </w:rPr>
        <w:t>网站运维服务项目。响应人应充分了解项目运维需求，清楚项目的运维内容及运维目标等项目建设相关的内容，如需进一步了解项目运维需求，可与湄洲湾港口发展中心联系。</w:t>
      </w:r>
    </w:p>
    <w:p>
      <w:pPr>
        <w:pStyle w:val="19"/>
        <w:numPr>
          <w:ilvl w:val="0"/>
          <w:numId w:val="1"/>
        </w:numPr>
        <w:tabs>
          <w:tab w:val="left" w:pos="2425"/>
        </w:tabs>
        <w:spacing w:line="440" w:lineRule="exact"/>
        <w:outlineLvl w:val="9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技术及服务要求：</w:t>
      </w:r>
      <w:r>
        <w:rPr>
          <w:rFonts w:hint="eastAsia" w:ascii="宋体" w:hAnsi="宋体" w:eastAsia="宋体" w:cs="宋体"/>
          <w:b/>
          <w:sz w:val="24"/>
          <w:szCs w:val="24"/>
        </w:rPr>
        <w:tab/>
      </w:r>
    </w:p>
    <w:p>
      <w:pPr>
        <w:pStyle w:val="20"/>
        <w:numPr>
          <w:ilvl w:val="0"/>
          <w:numId w:val="0"/>
        </w:numPr>
        <w:spacing w:line="420" w:lineRule="exact"/>
        <w:ind w:leftChars="0"/>
        <w:rPr>
          <w:rFonts w:hint="eastAsia" w:ascii="宋体" w:hAnsi="宋体" w:eastAsia="宋体" w:cs="宋体"/>
          <w:b/>
          <w:bCs/>
          <w:kern w:val="2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eastAsia="zh-CN"/>
        </w:rPr>
        <w:t>品目</w:t>
      </w: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t>1-1、</w:t>
      </w:r>
      <w:r>
        <w:rPr>
          <w:rFonts w:hint="eastAsia" w:ascii="宋体" w:hAnsi="宋体" w:eastAsia="宋体" w:cs="宋体"/>
          <w:b/>
          <w:bCs/>
          <w:kern w:val="2"/>
          <w:sz w:val="24"/>
          <w:szCs w:val="24"/>
        </w:rPr>
        <w:t>湄洲湾港口发展中心OA办公自动化系统运维：</w:t>
      </w:r>
    </w:p>
    <w:p>
      <w:pPr>
        <w:pStyle w:val="21"/>
        <w:ind w:firstLine="56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提供系统日常和预防性维护服务：根据系统日常维护服务计划或提供定期预防性维护服务。为提高系统的可使用率和高可靠性，把系统故障的可能性降低到最低，解决系统软件问题，系统保持良好的运行状况。提供纠错性维护：对系统出现的错误情况进行维护服务。主要针对运行中的异常情况，如：服务器崩溃、数据库损坏、邮件服务器异常等情况，目的是及时排除问题，恢复系统的正常运行。</w:t>
      </w:r>
    </w:p>
    <w:p>
      <w:pPr>
        <w:pStyle w:val="21"/>
        <w:ind w:firstLine="56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各系统具体功能模块如下表所示：</w:t>
      </w:r>
    </w:p>
    <w:tbl>
      <w:tblPr>
        <w:tblStyle w:val="4"/>
        <w:tblW w:w="943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"/>
        <w:gridCol w:w="881"/>
        <w:gridCol w:w="1420"/>
        <w:gridCol w:w="4231"/>
        <w:gridCol w:w="240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503" w:type="dxa"/>
            <w:shd w:val="clear" w:color="000000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</w:rPr>
              <w:t>序号</w:t>
            </w:r>
          </w:p>
        </w:tc>
        <w:tc>
          <w:tcPr>
            <w:tcW w:w="881" w:type="dxa"/>
            <w:shd w:val="clear" w:color="000000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</w:rPr>
              <w:t>服务项目</w:t>
            </w:r>
          </w:p>
        </w:tc>
        <w:tc>
          <w:tcPr>
            <w:tcW w:w="1420" w:type="dxa"/>
            <w:shd w:val="clear" w:color="000000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</w:rPr>
              <w:t>维护项目</w:t>
            </w:r>
          </w:p>
        </w:tc>
        <w:tc>
          <w:tcPr>
            <w:tcW w:w="4231" w:type="dxa"/>
            <w:shd w:val="clear" w:color="000000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</w:rPr>
              <w:t>功能模块</w:t>
            </w:r>
          </w:p>
        </w:tc>
        <w:tc>
          <w:tcPr>
            <w:tcW w:w="2402" w:type="dxa"/>
            <w:shd w:val="clear" w:color="000000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eastAsia="zh-CN"/>
              </w:rPr>
              <w:t>最高控制价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503" w:type="dxa"/>
            <w:vMerge w:val="restart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1</w:t>
            </w:r>
          </w:p>
        </w:tc>
        <w:tc>
          <w:tcPr>
            <w:tcW w:w="881" w:type="dxa"/>
            <w:vMerge w:val="restart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湄洲湾港口发展中心OA办公自动化系统</w:t>
            </w:r>
          </w:p>
        </w:tc>
        <w:tc>
          <w:tcPr>
            <w:tcW w:w="1420" w:type="dxa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湄洲湾港口发展中心OA办公自动化系统</w:t>
            </w:r>
          </w:p>
        </w:tc>
        <w:tc>
          <w:tcPr>
            <w:tcW w:w="4231" w:type="dxa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系统主页、及时提醒、待办事宜、发文管理、收文管理、单位来文、公文分发、公文公开、辅助办公、流程管理、系统管理等。</w:t>
            </w:r>
          </w:p>
        </w:tc>
        <w:tc>
          <w:tcPr>
            <w:tcW w:w="2402" w:type="dxa"/>
            <w:vMerge w:val="restart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  <w:t>29000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　</w:t>
            </w:r>
          </w:p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503" w:type="dxa"/>
            <w:vMerge w:val="continue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881" w:type="dxa"/>
            <w:vMerge w:val="continue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420" w:type="dxa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湄洲湾港口发展中心电子公文交换系统</w:t>
            </w:r>
          </w:p>
        </w:tc>
        <w:tc>
          <w:tcPr>
            <w:tcW w:w="4231" w:type="dxa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公文分发、公文接收、电子公告、交换路径配置、邮件通讯录维护、系统管理、手册及软件等。</w:t>
            </w:r>
          </w:p>
        </w:tc>
        <w:tc>
          <w:tcPr>
            <w:tcW w:w="2402" w:type="dxa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503" w:type="dxa"/>
            <w:vMerge w:val="continue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881" w:type="dxa"/>
            <w:vMerge w:val="continue"/>
            <w:shd w:val="clear" w:color="auto" w:fill="auto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420" w:type="dxa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湄洲湾港口发展中心电子政务邮件系统</w:t>
            </w:r>
          </w:p>
        </w:tc>
        <w:tc>
          <w:tcPr>
            <w:tcW w:w="4231" w:type="dxa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邮件发送、收件箱、发送箱、草稿箱、废纸篓、我的文件夹、邮件过滤定制、邮箱信息、个人通讯录、邮件签名、单位邮件通讯录、系统管理等。</w:t>
            </w:r>
          </w:p>
        </w:tc>
        <w:tc>
          <w:tcPr>
            <w:tcW w:w="2402" w:type="dxa"/>
            <w:vMerge w:val="continue"/>
            <w:shd w:val="clear" w:color="000000" w:fill="FFFFFF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</w:tbl>
    <w:p>
      <w:pPr>
        <w:spacing w:line="420" w:lineRule="exact"/>
        <w:rPr>
          <w:rFonts w:hint="eastAsia" w:ascii="宋体" w:hAnsi="宋体" w:eastAsia="宋体" w:cs="宋体"/>
          <w:kern w:val="2"/>
          <w:sz w:val="24"/>
          <w:szCs w:val="24"/>
        </w:rPr>
      </w:pPr>
    </w:p>
    <w:p>
      <w:pPr>
        <w:spacing w:line="420" w:lineRule="exact"/>
        <w:rPr>
          <w:rFonts w:hint="eastAsia" w:ascii="宋体" w:hAnsi="宋体" w:eastAsia="宋体" w:cs="宋体"/>
          <w:b/>
          <w:bCs/>
          <w:kern w:val="2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eastAsia="zh-CN"/>
        </w:rPr>
        <w:t>品目</w:t>
      </w: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t>1-2、</w:t>
      </w: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eastAsia="zh-CN"/>
        </w:rPr>
        <w:t>户</w:t>
      </w:r>
      <w:r>
        <w:rPr>
          <w:rFonts w:hint="eastAsia" w:ascii="宋体" w:hAnsi="宋体" w:eastAsia="宋体" w:cs="宋体"/>
          <w:b/>
          <w:bCs/>
          <w:kern w:val="2"/>
          <w:sz w:val="24"/>
          <w:szCs w:val="24"/>
        </w:rPr>
        <w:t>网站系统的日常管理和安全维护，增加删除专栏，版面调整，权限分配，数据备份等。</w:t>
      </w:r>
    </w:p>
    <w:tbl>
      <w:tblPr>
        <w:tblStyle w:val="4"/>
        <w:tblW w:w="489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5"/>
        <w:gridCol w:w="730"/>
        <w:gridCol w:w="1740"/>
        <w:gridCol w:w="2573"/>
        <w:gridCol w:w="1171"/>
        <w:gridCol w:w="14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399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序号</w:t>
            </w:r>
          </w:p>
        </w:tc>
        <w:tc>
          <w:tcPr>
            <w:tcW w:w="438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项目</w:t>
            </w: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子项目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说明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维护期次</w:t>
            </w:r>
          </w:p>
        </w:tc>
        <w:tc>
          <w:tcPr>
            <w:tcW w:w="87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  <w:t>最高控制价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1</w:t>
            </w:r>
          </w:p>
        </w:tc>
        <w:tc>
          <w:tcPr>
            <w:tcW w:w="438" w:type="pct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界面调整</w:t>
            </w: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网站首页、一级页面中的局部模块重新设计调整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before="100" w:beforeAutospacing="1" w:line="360" w:lineRule="auto"/>
              <w:textAlignment w:val="baseline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不改变网站页面整体风格和布局的情况下，对网站首页、一级页面中局部内容重新设计调整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≤3次</w:t>
            </w:r>
          </w:p>
        </w:tc>
        <w:tc>
          <w:tcPr>
            <w:tcW w:w="873" w:type="pct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  <w:t>10000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438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广告制作（通知、声明等）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网站横幅/背景图/飘窗/对联效果/头部flash /按钮/图标制作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不限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438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网站前端功能界面调整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如信箱提交类的功能调整、查询类功能的字段调整、问卷调查的功能调整、在线访谈的功能调整、网站检索的功能调整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不限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2</w:t>
            </w:r>
          </w:p>
        </w:tc>
        <w:tc>
          <w:tcPr>
            <w:tcW w:w="438" w:type="pct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内容维护</w:t>
            </w: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栏目、文档的批量调整、处理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网站前端栏目、文档顺序的批量调整；含指定敏感信息文档批量处理；WORD文档的批量导入；页面显示问题的批量处理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不限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438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协助进行特殊文档的录入和发布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协助对格式复杂的文档编辑发布和特大附件上传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≤20篇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438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音视频处理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音视频文件的转码和上传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≤20个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438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图片处理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根据提供的图片大小调整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不限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438" w:type="pct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网站错链、死链修改调整</w:t>
            </w: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对网站的错链、死链接配合修改调整（不包含外部链接、信息录入的链接、历史数据中包含的错误链接等）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不限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3</w:t>
            </w:r>
          </w:p>
        </w:tc>
        <w:tc>
          <w:tcPr>
            <w:tcW w:w="438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网站专题制作</w:t>
            </w: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网站政务热点专题的制作（不涉及业务系统程序开发）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≤6个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9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4</w:t>
            </w:r>
          </w:p>
        </w:tc>
        <w:tc>
          <w:tcPr>
            <w:tcW w:w="438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技术支持</w:t>
            </w:r>
          </w:p>
        </w:tc>
        <w:tc>
          <w:tcPr>
            <w:tcW w:w="1043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543" w:type="pct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现场技术支持</w:t>
            </w:r>
          </w:p>
        </w:tc>
        <w:tc>
          <w:tcPr>
            <w:tcW w:w="702" w:type="pc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≤5次</w:t>
            </w:r>
          </w:p>
        </w:tc>
        <w:tc>
          <w:tcPr>
            <w:tcW w:w="873" w:type="pct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</w:tbl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right="0"/>
      </w:pP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三、</w:t>
      </w:r>
      <w:r>
        <w:rPr>
          <w:rFonts w:hint="eastAsia" w:ascii="宋体" w:hAnsi="宋体" w:eastAsia="宋体" w:cs="宋体"/>
          <w:spacing w:val="0"/>
          <w:sz w:val="24"/>
          <w:szCs w:val="24"/>
        </w:rPr>
        <w:t>供应商的资格要求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   6.1法定条件：符合《中华人民共和国政府采购法》第二十二条第一款规定的条件。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   6.2特定条件：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240" w:afterAutospacing="0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    </w:t>
      </w:r>
      <w:r>
        <w:rPr>
          <w:rStyle w:val="6"/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包：1</w:t>
      </w:r>
    </w:p>
    <w:tbl>
      <w:tblPr>
        <w:tblStyle w:val="4"/>
        <w:tblW w:w="5000" w:type="pct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750"/>
        <w:gridCol w:w="458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  <w:tblCellSpacing w:w="0" w:type="dxa"/>
        </w:trPr>
        <w:tc>
          <w:tcPr>
            <w:tcW w:w="224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明细</w:t>
            </w:r>
          </w:p>
        </w:tc>
        <w:tc>
          <w:tcPr>
            <w:tcW w:w="275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描述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《福建省财政厅关于运用政府采购政策促进中小企业发展的通知》因疫情影响享受缓缴或免缴社保、税款的企业，无法提供相关社保、税收缴纳证明材料的，提供有关情况说明视同社保、税收缴纳证明材料提交完整。</w:t>
            </w:r>
          </w:p>
        </w:tc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《福建省财政厅关于运用政府采购政策促进中小企业发展的通知》因疫情影响享受缓缴或免缴社保、税款的企业，无法提供相关社保、税收缴纳证明材料的，提供有关情况说明视同社保、税收缴纳证明材料提交完整。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6.3</w:t>
      </w:r>
      <w:r>
        <w:rPr>
          <w:rFonts w:hint="eastAsia" w:ascii="宋体" w:hAnsi="宋体" w:cs="宋体"/>
          <w:sz w:val="24"/>
          <w:lang w:val="en-US" w:eastAsia="zh-CN"/>
        </w:rPr>
        <w:t>此次比选活动</w:t>
      </w:r>
      <w:r>
        <w:rPr>
          <w:rFonts w:hint="eastAsia" w:ascii="宋体" w:hAnsi="宋体" w:cs="宋体"/>
          <w:sz w:val="24"/>
        </w:rPr>
        <w:t>是否接受联合体形式</w:t>
      </w: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：不接受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  <w:rPr>
          <w:rFonts w:hint="eastAsia" w:ascii="宋体" w:hAnsi="宋体" w:cs="宋体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6.4</w:t>
      </w:r>
      <w:r>
        <w:rPr>
          <w:rFonts w:hint="eastAsia" w:ascii="宋体" w:hAnsi="宋体" w:cs="宋体"/>
          <w:sz w:val="24"/>
        </w:rPr>
        <w:t>维护服务方案书：提供系统维护服务方案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  <w:rPr>
          <w:rFonts w:hint="eastAsia"/>
          <w:sz w:val="24"/>
          <w:szCs w:val="24"/>
        </w:rPr>
      </w:pPr>
      <w:r>
        <w:rPr>
          <w:rFonts w:hint="eastAsia" w:ascii="宋体" w:hAnsi="宋体" w:cs="宋体"/>
          <w:spacing w:val="0"/>
          <w:sz w:val="24"/>
          <w:szCs w:val="24"/>
          <w:shd w:val="clear" w:color="auto" w:fill="FFFFFF"/>
          <w:lang w:val="en-US" w:eastAsia="zh-CN"/>
        </w:rPr>
        <w:t>6.5</w:t>
      </w:r>
      <w:r>
        <w:rPr>
          <w:rFonts w:hint="eastAsia"/>
          <w:sz w:val="24"/>
          <w:szCs w:val="24"/>
        </w:rPr>
        <w:t>经营范围要涵盖有计算机软件开发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  <w:rPr>
          <w:rFonts w:hint="eastAsia" w:ascii="宋体" w:hAnsi="宋体" w:cs="宋体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spacing w:val="0"/>
          <w:sz w:val="24"/>
          <w:szCs w:val="24"/>
          <w:shd w:val="clear" w:color="auto" w:fill="FFFFFF"/>
          <w:lang w:val="en-US" w:eastAsia="zh-CN"/>
        </w:rPr>
        <w:t>6.6 报价单格式自拟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四</w:t>
      </w:r>
      <w:r>
        <w:rPr>
          <w:rFonts w:hint="eastAsia" w:ascii="宋体" w:hAnsi="宋体" w:eastAsia="宋体" w:cs="宋体"/>
          <w:spacing w:val="0"/>
          <w:sz w:val="24"/>
          <w:szCs w:val="24"/>
        </w:rPr>
        <w:t>、商务条件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</w:rPr>
        <w:t>包：1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1、交付地点：采购人要求的地点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2、交付时间：</w:t>
      </w:r>
      <w:r>
        <w:rPr>
          <w:rFonts w:hint="eastAsia" w:ascii="宋体" w:hAnsi="宋体" w:eastAsia="宋体" w:cs="宋体"/>
          <w:kern w:val="2"/>
          <w:sz w:val="24"/>
          <w:szCs w:val="24"/>
        </w:rPr>
        <w:t>自合同签订起一年。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3、交付条件：</w:t>
      </w:r>
      <w:r>
        <w:rPr>
          <w:rFonts w:hint="eastAsia" w:ascii="宋体" w:hAnsi="宋体" w:eastAsia="宋体" w:cs="宋体"/>
          <w:kern w:val="2"/>
          <w:sz w:val="24"/>
          <w:szCs w:val="24"/>
          <w:lang w:eastAsia="zh-CN"/>
        </w:rPr>
        <w:t>服务期满</w:t>
      </w:r>
      <w:r>
        <w:rPr>
          <w:rFonts w:hint="eastAsia" w:ascii="宋体" w:hAnsi="宋体" w:eastAsia="宋体" w:cs="宋体"/>
          <w:kern w:val="2"/>
          <w:sz w:val="24"/>
          <w:szCs w:val="24"/>
        </w:rPr>
        <w:t>且验收合格</w:t>
      </w:r>
      <w:r>
        <w:rPr>
          <w:rFonts w:hint="eastAsia" w:ascii="宋体" w:hAnsi="宋体" w:cs="宋体"/>
          <w:kern w:val="2"/>
          <w:sz w:val="24"/>
          <w:szCs w:val="24"/>
          <w:lang w:eastAsia="zh-CN"/>
        </w:rPr>
        <w:t>，需提供维护巡检记录单</w:t>
      </w:r>
      <w:r>
        <w:rPr>
          <w:rFonts w:hint="eastAsia" w:ascii="宋体" w:hAnsi="宋体" w:eastAsia="宋体" w:cs="宋体"/>
          <w:kern w:val="2"/>
          <w:sz w:val="24"/>
          <w:szCs w:val="24"/>
        </w:rPr>
        <w:t>。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4、是否收取履约保证金：否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5、是否邀请</w:t>
      </w:r>
      <w:r>
        <w:rPr>
          <w:rFonts w:hint="eastAsia" w:ascii="宋体" w:hAnsi="宋体" w:cs="宋体"/>
          <w:spacing w:val="0"/>
          <w:sz w:val="24"/>
          <w:szCs w:val="24"/>
          <w:lang w:eastAsia="zh-CN"/>
        </w:rPr>
        <w:t>供应商</w:t>
      </w:r>
      <w:r>
        <w:rPr>
          <w:rFonts w:hint="eastAsia" w:ascii="宋体" w:hAnsi="宋体" w:eastAsia="宋体" w:cs="宋体"/>
          <w:spacing w:val="0"/>
          <w:sz w:val="24"/>
          <w:szCs w:val="24"/>
        </w:rPr>
        <w:t>参与验收：否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6、验收方式数据表格</w:t>
      </w:r>
    </w:p>
    <w:tbl>
      <w:tblPr>
        <w:tblStyle w:val="4"/>
        <w:tblW w:w="5000" w:type="pct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67"/>
        <w:gridCol w:w="666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Header/>
          <w:tblCellSpacing w:w="0" w:type="dxa"/>
        </w:trPr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验收期次</w:t>
            </w:r>
          </w:p>
        </w:tc>
        <w:tc>
          <w:tcPr>
            <w:tcW w:w="4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验收期次说明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eastAsia="zh-CN"/>
              </w:rPr>
              <w:t>按合同约定，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验收合格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7、支付方式数据表格</w:t>
      </w:r>
    </w:p>
    <w:tbl>
      <w:tblPr>
        <w:tblStyle w:val="4"/>
        <w:tblW w:w="5000" w:type="pct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67"/>
        <w:gridCol w:w="1667"/>
        <w:gridCol w:w="50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  <w:tblCellSpacing w:w="0" w:type="dxa"/>
        </w:trPr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支付期次</w:t>
            </w:r>
          </w:p>
        </w:tc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支付比例(%)</w:t>
            </w:r>
          </w:p>
        </w:tc>
        <w:tc>
          <w:tcPr>
            <w:tcW w:w="3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支付期次说明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72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pStyle w:val="3"/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/>
              </w:rPr>
              <w:t>70%</w:t>
            </w:r>
          </w:p>
        </w:tc>
        <w:tc>
          <w:tcPr>
            <w:tcW w:w="51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pStyle w:val="3"/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合同签订后十个工作日内，甲方支付给乙方合同金额70%的款项，乙方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在甲方付款前应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提供等额的增值税专用发票；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72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pStyle w:val="3"/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/>
              </w:rPr>
              <w:t>30%</w:t>
            </w:r>
          </w:p>
        </w:tc>
        <w:tc>
          <w:tcPr>
            <w:tcW w:w="51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pStyle w:val="3"/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一年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  <w:t>服务期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满后，甲方支付给乙方合同金额30%的款项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乙方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在甲方付款前应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提供等额的增值税专用发票。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</w:pP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  <w:lang w:eastAsia="zh-CN"/>
        </w:rPr>
        <w:t>五</w:t>
      </w: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  <w:t>、注意事项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</w:pP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1.参选人可通过直接送达、邮寄方式参与比选，并在密封邮件外注明“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</w:rPr>
        <w:t>福建省湄洲湾港口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  <w:lang w:eastAsia="zh-CN"/>
        </w:rPr>
        <w:t>发展中心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  <w:lang w:val="en-US" w:eastAsia="zh-CN"/>
        </w:rPr>
        <w:t>OA及门户网站维护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报价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  <w:lang w:val="en-US" w:eastAsia="zh-CN"/>
        </w:rPr>
        <w:t>文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件”。未注明的参选信件视为无效参选报价信件。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</w:pP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2.参选人需提供营业执照复印件（加盖公章）、报价单（注明联系人和联系电话，并加盖公章）。未注明或未加盖公章的参选信件视为无效参选报价信件。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</w:pP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3.参选报价截止时间：公告发布后满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个工作日，以采购人收到参选信件为准。逾期视为无效参选报价信件。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</w:pP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4.公告发布后，参选人可联系采购人或自行前往踏勘现场，获取编制报价的现场资料。参选人踏勘现场和参与参选所发生的一切费用由参选人自行负责。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</w:pP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5.参选人接到采购人中选通知书后，在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  <w:lang w:val="en-US" w:eastAsia="zh-CN"/>
        </w:rPr>
        <w:t>10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个工作日内签订合同。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6.联系方式：联系人：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  <w:lang w:eastAsia="zh-CN"/>
        </w:rPr>
        <w:t>庄世芳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；联系电话 ：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  <w:lang w:val="en-US" w:eastAsia="zh-CN"/>
        </w:rPr>
        <w:t>0595-87777075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；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</w:pP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地址：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</w:rPr>
        <w:t>福建省泉州市泉港区泉五中路329号</w:t>
      </w:r>
      <w:r>
        <w:rPr>
          <w:rFonts w:hint="eastAsia" w:ascii="微软雅黑" w:hAnsi="微软雅黑" w:eastAsia="微软雅黑" w:cs="微软雅黑"/>
          <w:snapToGrid w:val="0"/>
          <w:color w:val="383838"/>
          <w:sz w:val="24"/>
          <w:szCs w:val="24"/>
          <w:shd w:val="clear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0" w:afterAutospacing="0" w:line="480" w:lineRule="atLeast"/>
        <w:ind w:right="226"/>
        <w:jc w:val="left"/>
        <w:textAlignment w:val="auto"/>
      </w:pPr>
      <w:r>
        <w:rPr>
          <w:rStyle w:val="6"/>
          <w:rFonts w:hint="eastAsia" w:ascii="微软雅黑" w:hAnsi="微软雅黑" w:eastAsia="微软雅黑" w:cs="微软雅黑"/>
          <w:b/>
          <w:color w:val="383838"/>
          <w:sz w:val="24"/>
          <w:szCs w:val="24"/>
          <w:shd w:val="clear" w:fill="FFFFFF"/>
          <w:lang w:eastAsia="zh-CN"/>
        </w:rPr>
        <w:t>六</w:t>
      </w:r>
      <w:r>
        <w:rPr>
          <w:rStyle w:val="6"/>
          <w:rFonts w:hint="eastAsia" w:ascii="微软雅黑" w:hAnsi="微软雅黑" w:eastAsia="微软雅黑" w:cs="微软雅黑"/>
          <w:b/>
          <w:color w:val="383838"/>
          <w:sz w:val="24"/>
          <w:szCs w:val="24"/>
          <w:shd w:val="clear" w:fill="FFFFFF"/>
        </w:rPr>
        <w:t>、预算金额：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227"/>
        <w:jc w:val="left"/>
        <w:textAlignment w:val="auto"/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</w:rPr>
        <w:t>预算金额：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  <w:lang w:val="en-US" w:eastAsia="zh-CN"/>
        </w:rPr>
        <w:t>OA维护金额：最高控制价2.9万元（人民币）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227"/>
        <w:jc w:val="left"/>
        <w:textAlignment w:val="auto"/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  <w:lang w:val="en-US" w:eastAsia="zh-CN"/>
        </w:rPr>
        <w:t xml:space="preserve">        门户网站金额：最高控制价1万元（人民币）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227" w:firstLine="960" w:firstLineChars="400"/>
        <w:jc w:val="left"/>
        <w:textAlignment w:val="auto"/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shd w:val="clear" w:fill="FFFFFF"/>
          <w:lang w:val="en-US" w:eastAsia="zh-CN"/>
        </w:rPr>
        <w:t>总最高控制价3.9万元（人民币）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0BD186D"/>
    <w:multiLevelType w:val="singleLevel"/>
    <w:tmpl w:val="40BD186D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wMThjNGNjZGY4YjMwZTYzM2FjYjFkMzg4YWVmYTAifQ=="/>
  </w:docVars>
  <w:rsids>
    <w:rsidRoot w:val="00000000"/>
    <w:rsid w:val="059E7C93"/>
    <w:rsid w:val="082C6F73"/>
    <w:rsid w:val="0D696C61"/>
    <w:rsid w:val="0F6E5820"/>
    <w:rsid w:val="197A4904"/>
    <w:rsid w:val="30915438"/>
    <w:rsid w:val="56203094"/>
    <w:rsid w:val="6697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99"/>
    <w:pPr>
      <w:widowControl w:val="0"/>
      <w:adjustRightInd/>
      <w:snapToGrid/>
      <w:spacing w:after="0"/>
      <w:jc w:val="both"/>
    </w:pPr>
    <w:rPr>
      <w:rFonts w:ascii="宋体" w:hAnsi="Courier New" w:eastAsia="宋体" w:cs="宋体"/>
      <w:kern w:val="2"/>
      <w:sz w:val="21"/>
      <w:szCs w:val="21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rFonts w:hint="eastAsia" w:ascii="微软雅黑" w:hAnsi="微软雅黑" w:eastAsia="微软雅黑" w:cs="微软雅黑"/>
      <w:color w:val="02396F"/>
      <w:u w:val="single"/>
    </w:rPr>
  </w:style>
  <w:style w:type="character" w:styleId="8">
    <w:name w:val="Hyperlink"/>
    <w:basedOn w:val="5"/>
    <w:qFormat/>
    <w:uiPriority w:val="0"/>
    <w:rPr>
      <w:rFonts w:hint="eastAsia" w:ascii="微软雅黑" w:hAnsi="微软雅黑" w:eastAsia="微软雅黑" w:cs="微软雅黑"/>
      <w:color w:val="02396F"/>
      <w:u w:val="single"/>
    </w:rPr>
  </w:style>
  <w:style w:type="character" w:customStyle="1" w:styleId="9">
    <w:name w:val="prev"/>
    <w:basedOn w:val="5"/>
    <w:qFormat/>
    <w:uiPriority w:val="0"/>
    <w:rPr>
      <w:color w:val="888888"/>
    </w:rPr>
  </w:style>
  <w:style w:type="character" w:customStyle="1" w:styleId="10">
    <w:name w:val="prev1"/>
    <w:basedOn w:val="5"/>
    <w:qFormat/>
    <w:uiPriority w:val="0"/>
    <w:rPr>
      <w:rFonts w:ascii="微软雅黑" w:hAnsi="微软雅黑" w:eastAsia="微软雅黑" w:cs="微软雅黑"/>
      <w:sz w:val="21"/>
      <w:szCs w:val="21"/>
    </w:rPr>
  </w:style>
  <w:style w:type="character" w:customStyle="1" w:styleId="11">
    <w:name w:val="qxdate"/>
    <w:basedOn w:val="5"/>
    <w:qFormat/>
    <w:uiPriority w:val="0"/>
    <w:rPr>
      <w:color w:val="333333"/>
      <w:sz w:val="18"/>
      <w:szCs w:val="18"/>
    </w:rPr>
  </w:style>
  <w:style w:type="character" w:customStyle="1" w:styleId="12">
    <w:name w:val="next2"/>
    <w:basedOn w:val="5"/>
    <w:qFormat/>
    <w:uiPriority w:val="0"/>
    <w:rPr>
      <w:color w:val="888888"/>
    </w:rPr>
  </w:style>
  <w:style w:type="character" w:customStyle="1" w:styleId="13">
    <w:name w:val="next3"/>
    <w:basedOn w:val="5"/>
    <w:qFormat/>
    <w:uiPriority w:val="0"/>
    <w:rPr>
      <w:rFonts w:hint="eastAsia" w:ascii="微软雅黑" w:hAnsi="微软雅黑" w:eastAsia="微软雅黑" w:cs="微软雅黑"/>
      <w:sz w:val="21"/>
      <w:szCs w:val="21"/>
    </w:rPr>
  </w:style>
  <w:style w:type="character" w:customStyle="1" w:styleId="14">
    <w:name w:val="redfilefwwh"/>
    <w:basedOn w:val="5"/>
    <w:qFormat/>
    <w:uiPriority w:val="0"/>
    <w:rPr>
      <w:color w:val="BA2636"/>
      <w:sz w:val="18"/>
      <w:szCs w:val="18"/>
    </w:rPr>
  </w:style>
  <w:style w:type="character" w:customStyle="1" w:styleId="15">
    <w:name w:val="redfilenumber"/>
    <w:basedOn w:val="5"/>
    <w:qFormat/>
    <w:uiPriority w:val="0"/>
    <w:rPr>
      <w:color w:val="BA2636"/>
      <w:sz w:val="18"/>
      <w:szCs w:val="18"/>
    </w:rPr>
  </w:style>
  <w:style w:type="character" w:customStyle="1" w:styleId="16">
    <w:name w:val="gjfg"/>
    <w:basedOn w:val="5"/>
    <w:qFormat/>
    <w:uiPriority w:val="0"/>
  </w:style>
  <w:style w:type="character" w:customStyle="1" w:styleId="17">
    <w:name w:val="cfdate"/>
    <w:basedOn w:val="5"/>
    <w:qFormat/>
    <w:uiPriority w:val="0"/>
    <w:rPr>
      <w:color w:val="333333"/>
      <w:sz w:val="18"/>
      <w:szCs w:val="18"/>
    </w:rPr>
  </w:style>
  <w:style w:type="character" w:customStyle="1" w:styleId="18">
    <w:name w:val="displayarti"/>
    <w:basedOn w:val="5"/>
    <w:qFormat/>
    <w:uiPriority w:val="0"/>
    <w:rPr>
      <w:color w:val="FFFFFF"/>
      <w:shd w:val="clear" w:fill="A00000"/>
    </w:rPr>
  </w:style>
  <w:style w:type="paragraph" w:customStyle="1" w:styleId="19">
    <w:name w:val="样式3"/>
    <w:basedOn w:val="2"/>
    <w:qFormat/>
    <w:uiPriority w:val="99"/>
    <w:pPr>
      <w:spacing w:line="240" w:lineRule="atLeast"/>
      <w:outlineLvl w:val="0"/>
    </w:pPr>
    <w:rPr>
      <w:sz w:val="28"/>
      <w:szCs w:val="28"/>
    </w:rPr>
  </w:style>
  <w:style w:type="paragraph" w:styleId="20">
    <w:name w:val="List Paragraph"/>
    <w:basedOn w:val="1"/>
    <w:qFormat/>
    <w:uiPriority w:val="34"/>
    <w:pPr>
      <w:ind w:firstLine="420" w:firstLineChars="200"/>
    </w:pPr>
  </w:style>
  <w:style w:type="paragraph" w:customStyle="1" w:styleId="21">
    <w:name w:val="No Spacing"/>
    <w:qFormat/>
    <w:uiPriority w:val="0"/>
    <w:pPr>
      <w:widowControl w:val="0"/>
      <w:spacing w:after="0" w:line="360" w:lineRule="auto"/>
      <w:ind w:firstLine="200" w:firstLineChars="200"/>
      <w:jc w:val="both"/>
    </w:pPr>
    <w:rPr>
      <w:rFonts w:ascii="Calibri" w:hAnsi="Calibri" w:eastAsia="宋体" w:cs="Calibri"/>
      <w:kern w:val="2"/>
      <w:sz w:val="28"/>
      <w:szCs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2020-11-18T08:13:00Z</dcterms:created>
  <dc:creator>Lenovo</dc:creator>
  <cp:lastModifiedBy>未</cp:lastModifiedBy>
  <dcterms:modified xsi:type="dcterms:W3CDTF">2023-12-13T06:39:27Z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4F91BE8D82F44EE1824BBFA851375F27_13</vt:lpwstr>
  </property>
</Properties>
</file>