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snapToGrid w:val="0"/>
        <w:spacing w:before="680" w:beforeAutospacing="0" w:after="632" w:afterAutospacing="0" w:line="400" w:lineRule="atLeast"/>
        <w:ind w:right="226"/>
        <w:jc w:val="center"/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</w:pP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  <w:t>福建省湄洲湾港口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eastAsia="zh-CN"/>
        </w:rPr>
        <w:t>发展中心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val="en-US" w:eastAsia="zh-CN"/>
        </w:rPr>
        <w:t>楼层网络机柜及电</w:t>
      </w:r>
      <w:bookmarkStart w:id="1" w:name="_GoBack"/>
      <w:bookmarkEnd w:id="1"/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  <w:lang w:val="en-US" w:eastAsia="zh-CN"/>
        </w:rPr>
        <w:t>话线路整改</w:t>
      </w:r>
      <w:r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  <w:t>项目比选公告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</w:pPr>
      <w:r>
        <w:rPr>
          <w:rStyle w:val="6"/>
          <w:rFonts w:hint="eastAsia" w:ascii="宋体" w:hAnsi="宋体" w:eastAsia="宋体" w:cs="宋体"/>
          <w:spacing w:val="0"/>
          <w:sz w:val="24"/>
          <w:szCs w:val="24"/>
        </w:rPr>
        <w:t>采购内容及要求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</w:rPr>
        <w:t> </w:t>
      </w:r>
    </w:p>
    <w:p>
      <w:pPr>
        <w:pStyle w:val="19"/>
        <w:spacing w:line="440" w:lineRule="exact"/>
        <w:outlineLvl w:val="9"/>
        <w:rPr>
          <w:rFonts w:hint="eastAsia" w:ascii="宋体" w:hAnsi="宋体" w:eastAsia="宋体" w:cs="宋体"/>
          <w:b/>
          <w:sz w:val="24"/>
          <w:szCs w:val="24"/>
        </w:rPr>
      </w:pPr>
      <w:bookmarkStart w:id="0" w:name="_Toc302996341"/>
      <w:r>
        <w:rPr>
          <w:rFonts w:hint="eastAsia" w:ascii="宋体" w:hAnsi="宋体" w:eastAsia="宋体" w:cs="宋体"/>
          <w:b/>
          <w:sz w:val="24"/>
          <w:szCs w:val="24"/>
        </w:rPr>
        <w:t>一、概述</w:t>
      </w:r>
      <w:bookmarkEnd w:id="0"/>
    </w:p>
    <w:p>
      <w:pPr>
        <w:pStyle w:val="2"/>
        <w:spacing w:line="360" w:lineRule="exact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本次项目为湄洲湾港口发展中心</w:t>
      </w:r>
      <w:r>
        <w:rPr>
          <w:rFonts w:hint="eastAsia" w:hAnsi="宋体" w:cs="宋体"/>
          <w:sz w:val="24"/>
          <w:szCs w:val="24"/>
          <w:lang w:eastAsia="zh-CN"/>
        </w:rPr>
        <w:t>楼层网络机柜及电话线路整改</w:t>
      </w:r>
      <w:r>
        <w:rPr>
          <w:rFonts w:hint="eastAsia" w:ascii="宋体" w:hAnsi="宋体" w:eastAsia="宋体" w:cs="宋体"/>
          <w:sz w:val="24"/>
          <w:szCs w:val="24"/>
        </w:rPr>
        <w:t>项目。响应人应充分了解项目</w:t>
      </w:r>
      <w:r>
        <w:rPr>
          <w:rFonts w:hint="eastAsia" w:hAnsi="宋体" w:cs="宋体"/>
          <w:sz w:val="24"/>
          <w:szCs w:val="24"/>
          <w:lang w:eastAsia="zh-CN"/>
        </w:rPr>
        <w:t>整改</w:t>
      </w:r>
      <w:r>
        <w:rPr>
          <w:rFonts w:hint="eastAsia" w:ascii="宋体" w:hAnsi="宋体" w:eastAsia="宋体" w:cs="宋体"/>
          <w:sz w:val="24"/>
          <w:szCs w:val="24"/>
        </w:rPr>
        <w:t>需求</w:t>
      </w:r>
      <w:r>
        <w:rPr>
          <w:rFonts w:hint="eastAsia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如需进一步了解项目</w:t>
      </w:r>
      <w:r>
        <w:rPr>
          <w:rFonts w:hint="eastAsia" w:hAnsi="宋体" w:cs="宋体"/>
          <w:sz w:val="24"/>
          <w:szCs w:val="24"/>
          <w:lang w:eastAsia="zh-CN"/>
        </w:rPr>
        <w:t>的整改</w:t>
      </w:r>
      <w:r>
        <w:rPr>
          <w:rFonts w:hint="eastAsia" w:ascii="宋体" w:hAnsi="宋体" w:eastAsia="宋体" w:cs="宋体"/>
          <w:sz w:val="24"/>
          <w:szCs w:val="24"/>
        </w:rPr>
        <w:t>，可与湄洲湾港口发展中心联系</w:t>
      </w:r>
      <w:r>
        <w:rPr>
          <w:rFonts w:hint="eastAsia" w:hAnsi="宋体" w:cs="宋体"/>
          <w:sz w:val="24"/>
          <w:szCs w:val="24"/>
          <w:lang w:eastAsia="zh-CN"/>
        </w:rPr>
        <w:t>来现场查看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pStyle w:val="19"/>
        <w:numPr>
          <w:ilvl w:val="0"/>
          <w:numId w:val="1"/>
        </w:numPr>
        <w:tabs>
          <w:tab w:val="left" w:pos="2425"/>
        </w:tabs>
        <w:spacing w:line="440" w:lineRule="exact"/>
        <w:outlineLvl w:val="9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技术及服务要求：</w:t>
      </w:r>
      <w:r>
        <w:rPr>
          <w:rFonts w:hint="eastAsia" w:ascii="宋体" w:hAnsi="宋体" w:eastAsia="宋体" w:cs="宋体"/>
          <w:b/>
          <w:sz w:val="24"/>
          <w:szCs w:val="24"/>
        </w:rPr>
        <w:tab/>
      </w:r>
    </w:p>
    <w:p>
      <w:pPr>
        <w:pStyle w:val="20"/>
        <w:numPr>
          <w:ilvl w:val="0"/>
          <w:numId w:val="0"/>
        </w:numPr>
        <w:spacing w:line="420" w:lineRule="exact"/>
        <w:ind w:leftChars="0" w:firstLine="481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t>1：需将三个网络（政务外网、政务内网、互联网）的网络线路和电话线进行整理，将每个办公室的面板网口与楼层交换机网口进行匹配并标注。</w:t>
      </w:r>
    </w:p>
    <w:p>
      <w:pPr>
        <w:pStyle w:val="20"/>
        <w:numPr>
          <w:ilvl w:val="0"/>
          <w:numId w:val="0"/>
        </w:numPr>
        <w:spacing w:line="420" w:lineRule="exact"/>
        <w:ind w:leftChars="0" w:firstLine="481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t>2：需更换每个楼层的电话线盒、更换7楼机柜，更换老化的水晶头、使用网络理线架和配线架等辅材。并将电话线路及线盒并入总机柜内，达到一定的美观效果。</w:t>
      </w:r>
    </w:p>
    <w:p>
      <w:pPr>
        <w:pStyle w:val="20"/>
        <w:numPr>
          <w:ilvl w:val="0"/>
          <w:numId w:val="0"/>
        </w:numPr>
        <w:spacing w:line="420" w:lineRule="exact"/>
        <w:ind w:leftChars="0" w:firstLine="481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t>3：保证每条网络线路和电话线路通畅</w:t>
      </w:r>
    </w:p>
    <w:p>
      <w:pPr>
        <w:pStyle w:val="20"/>
        <w:numPr>
          <w:ilvl w:val="0"/>
          <w:numId w:val="0"/>
        </w:numPr>
        <w:spacing w:line="420" w:lineRule="exact"/>
        <w:ind w:leftChars="0" w:firstLine="481"/>
        <w:rPr>
          <w:rFonts w:hint="default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t>附上部分现场图片，需进一步了解情况可与项目负责人联系现场查看。</w:t>
      </w:r>
    </w:p>
    <w:p>
      <w:pPr>
        <w:pStyle w:val="21"/>
        <w:ind w:firstLine="560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pStyle w:val="21"/>
        <w:ind w:firstLine="56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drawing>
          <wp:inline distT="0" distB="0" distL="114300" distR="114300">
            <wp:extent cx="4057650" cy="1898015"/>
            <wp:effectExtent l="0" t="0" r="0" b="6985"/>
            <wp:docPr id="1" name="图片 1" descr="884ba3dc023738d496efe9097d65a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884ba3dc023738d496efe9097d65ad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1898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ind w:firstLine="56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drawing>
          <wp:inline distT="0" distB="0" distL="114300" distR="114300">
            <wp:extent cx="3997325" cy="2101215"/>
            <wp:effectExtent l="0" t="0" r="3175" b="13335"/>
            <wp:docPr id="2" name="图片 2" descr="3120b8df702592cfb5ebcd608bcfe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120b8df702592cfb5ebcd608bcfed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97325" cy="2101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ind w:firstLine="56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drawing>
          <wp:inline distT="0" distB="0" distL="114300" distR="114300">
            <wp:extent cx="2222500" cy="2876550"/>
            <wp:effectExtent l="0" t="0" r="6350" b="0"/>
            <wp:docPr id="3" name="图片 3" descr="9a589d4c20d9a21a1eaa58781381a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a589d4c20d9a21a1eaa58781381a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225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drawing>
          <wp:inline distT="0" distB="0" distL="114300" distR="114300">
            <wp:extent cx="1946910" cy="3036570"/>
            <wp:effectExtent l="0" t="0" r="15240" b="11430"/>
            <wp:docPr id="4" name="图片 4" descr="425c3aac30fb1db38833bac26cc0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25c3aac30fb1db38833bac26cc092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46910" cy="3036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ind w:firstLine="560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/>
        </w:rPr>
        <w:drawing>
          <wp:inline distT="0" distB="0" distL="114300" distR="114300">
            <wp:extent cx="4251325" cy="2827020"/>
            <wp:effectExtent l="0" t="0" r="15875" b="11430"/>
            <wp:docPr id="5" name="图片 5" descr="782ea125a5b810ead1771af632ee4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782ea125a5b810ead1771af632ee4b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51325" cy="282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1"/>
        <w:ind w:left="0" w:leftChars="0" w:firstLine="0" w:firstLineChars="0"/>
        <w:rPr>
          <w:rFonts w:hint="eastAsia" w:ascii="宋体" w:hAnsi="宋体" w:eastAsia="宋体" w:cs="宋体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right="0"/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三、</w:t>
      </w:r>
      <w:r>
        <w:rPr>
          <w:rFonts w:hint="eastAsia" w:ascii="宋体" w:hAnsi="宋体" w:eastAsia="宋体" w:cs="宋体"/>
          <w:spacing w:val="0"/>
          <w:sz w:val="24"/>
          <w:szCs w:val="24"/>
        </w:rPr>
        <w:t>供应商的资格要求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435" w:lineRule="atLeast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   6.1法定条件：符合《中华人民共和国政府采购法》第二十二条第一款规定的条件。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6</w:t>
      </w: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  <w:lang w:val="en-US" w:eastAsia="zh-CN"/>
        </w:rPr>
        <w:t>.2</w:t>
      </w:r>
      <w:r>
        <w:rPr>
          <w:rFonts w:hint="eastAsia" w:ascii="宋体" w:hAnsi="宋体" w:cs="宋体"/>
          <w:sz w:val="24"/>
          <w:lang w:val="en-US" w:eastAsia="zh-CN"/>
        </w:rPr>
        <w:t>此次比选活动</w:t>
      </w:r>
      <w:r>
        <w:rPr>
          <w:rFonts w:hint="eastAsia" w:ascii="宋体" w:hAnsi="宋体" w:cs="宋体"/>
          <w:sz w:val="24"/>
        </w:rPr>
        <w:t>是否接受联合体形式</w:t>
      </w:r>
      <w:r>
        <w:rPr>
          <w:rFonts w:hint="eastAsia" w:ascii="宋体" w:hAnsi="宋体" w:eastAsia="宋体" w:cs="宋体"/>
          <w:spacing w:val="0"/>
          <w:sz w:val="24"/>
          <w:szCs w:val="24"/>
          <w:shd w:val="clear" w:color="auto" w:fill="FFFFFF"/>
        </w:rPr>
        <w:t>：不接受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 w:ascii="宋体" w:hAnsi="宋体" w:cs="宋体" w:eastAsiaTheme="minorEastAsia"/>
          <w:spacing w:val="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6.3报价格式</w:t>
      </w:r>
      <w:r>
        <w:rPr>
          <w:rFonts w:hint="eastAsia" w:ascii="宋体" w:hAnsi="宋体" w:cs="宋体"/>
          <w:sz w:val="24"/>
        </w:rPr>
        <w:t>：</w:t>
      </w:r>
      <w:r>
        <w:rPr>
          <w:rFonts w:hint="eastAsia" w:ascii="宋体" w:hAnsi="宋体" w:cs="宋体"/>
          <w:sz w:val="24"/>
          <w:lang w:eastAsia="zh-CN"/>
        </w:rPr>
        <w:t>自拟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 w:line="360" w:lineRule="atLeast"/>
        <w:ind w:left="0" w:right="0" w:firstLine="480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 w:ascii="宋体" w:hAnsi="宋体" w:cs="宋体"/>
          <w:spacing w:val="0"/>
          <w:sz w:val="24"/>
          <w:szCs w:val="24"/>
          <w:shd w:val="clear" w:color="auto" w:fill="FFFFFF"/>
          <w:lang w:val="en-US" w:eastAsia="zh-CN"/>
        </w:rPr>
        <w:t>6.4</w:t>
      </w:r>
      <w:r>
        <w:rPr>
          <w:rFonts w:hint="eastAsia"/>
          <w:sz w:val="24"/>
          <w:szCs w:val="24"/>
        </w:rPr>
        <w:t>经营范围要涵盖</w:t>
      </w:r>
      <w:r>
        <w:rPr>
          <w:rFonts w:hint="eastAsia"/>
          <w:sz w:val="24"/>
          <w:szCs w:val="24"/>
          <w:lang w:eastAsia="zh-CN"/>
        </w:rPr>
        <w:t>有：计算机或电脑及配件或网络工程。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spacing w:val="0"/>
          <w:sz w:val="24"/>
          <w:szCs w:val="24"/>
        </w:rPr>
        <w:t>、商务条件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1、交付地点：采购人要求的地点</w:t>
      </w: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2、交付时间：</w:t>
      </w:r>
      <w:r>
        <w:rPr>
          <w:rFonts w:hint="eastAsia" w:ascii="宋体" w:hAnsi="宋体" w:eastAsia="宋体" w:cs="宋体"/>
          <w:kern w:val="2"/>
          <w:sz w:val="24"/>
          <w:szCs w:val="24"/>
        </w:rPr>
        <w:t>自合同签订起</w:t>
      </w:r>
      <w:r>
        <w:rPr>
          <w:rFonts w:hint="eastAsia" w:ascii="宋体" w:hAnsi="宋体" w:eastAsia="宋体" w:cs="宋体"/>
          <w:kern w:val="2"/>
          <w:sz w:val="24"/>
          <w:szCs w:val="24"/>
          <w:lang w:val="en-US" w:eastAsia="zh-CN"/>
        </w:rPr>
        <w:t>2个月内</w:t>
      </w:r>
      <w:r>
        <w:rPr>
          <w:rFonts w:hint="eastAsia" w:ascii="宋体" w:hAnsi="宋体" w:eastAsia="宋体" w:cs="宋体"/>
          <w:kern w:val="2"/>
          <w:sz w:val="24"/>
          <w:szCs w:val="24"/>
        </w:rPr>
        <w:t>。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3、交付条件：</w:t>
      </w:r>
      <w:r>
        <w:rPr>
          <w:rFonts w:hint="eastAsia" w:ascii="宋体" w:hAnsi="宋体" w:eastAsia="宋体" w:cs="宋体"/>
          <w:kern w:val="2"/>
          <w:sz w:val="24"/>
          <w:szCs w:val="24"/>
          <w:lang w:eastAsia="zh-CN"/>
        </w:rPr>
        <w:t>服务期满</w:t>
      </w:r>
      <w:r>
        <w:rPr>
          <w:rFonts w:hint="eastAsia" w:ascii="宋体" w:hAnsi="宋体" w:eastAsia="宋体" w:cs="宋体"/>
          <w:kern w:val="2"/>
          <w:sz w:val="24"/>
          <w:szCs w:val="24"/>
        </w:rPr>
        <w:t>且验收合格。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4、是否收取履约保证金：否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5、是否邀请</w:t>
      </w:r>
      <w:r>
        <w:rPr>
          <w:rFonts w:hint="eastAsia" w:ascii="宋体" w:hAnsi="宋体" w:cs="宋体"/>
          <w:spacing w:val="0"/>
          <w:sz w:val="24"/>
          <w:szCs w:val="24"/>
          <w:lang w:eastAsia="zh-CN"/>
        </w:rPr>
        <w:t>供应商</w:t>
      </w:r>
      <w:r>
        <w:rPr>
          <w:rFonts w:hint="eastAsia" w:ascii="宋体" w:hAnsi="宋体" w:eastAsia="宋体" w:cs="宋体"/>
          <w:spacing w:val="0"/>
          <w:sz w:val="24"/>
          <w:szCs w:val="24"/>
        </w:rPr>
        <w:t>参与验收：否</w:t>
      </w:r>
      <w:r>
        <w:rPr>
          <w:rFonts w:hint="eastAsia" w:ascii="宋体" w:hAnsi="宋体" w:eastAsia="宋体" w:cs="宋体"/>
          <w:spacing w:val="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pacing w:val="0"/>
          <w:sz w:val="24"/>
          <w:szCs w:val="24"/>
        </w:rPr>
        <w:t>6、验收方式数据表格</w:t>
      </w:r>
    </w:p>
    <w:tbl>
      <w:tblPr>
        <w:tblStyle w:val="4"/>
        <w:tblW w:w="5000" w:type="pct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67"/>
        <w:gridCol w:w="666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Header/>
          <w:tblCellSpacing w:w="0" w:type="dxa"/>
        </w:trPr>
        <w:tc>
          <w:tcPr>
            <w:tcW w:w="1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验收期次</w:t>
            </w:r>
          </w:p>
        </w:tc>
        <w:tc>
          <w:tcPr>
            <w:tcW w:w="4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验收期次说明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CellSpacing w:w="0" w:type="dxa"/>
        </w:trPr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eastAsia="zh-CN"/>
              </w:rPr>
              <w:t>按合同约定，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验收合格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7、支付方式数据表格</w:t>
      </w:r>
    </w:p>
    <w:tbl>
      <w:tblPr>
        <w:tblStyle w:val="4"/>
        <w:tblW w:w="5000" w:type="pct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66"/>
        <w:gridCol w:w="1666"/>
        <w:gridCol w:w="500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</w:tblPrEx>
        <w:trPr>
          <w:tblHeader/>
          <w:tblCellSpacing w:w="0" w:type="dxa"/>
        </w:trPr>
        <w:tc>
          <w:tcPr>
            <w:tcW w:w="9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支付期次</w:t>
            </w:r>
          </w:p>
        </w:tc>
        <w:tc>
          <w:tcPr>
            <w:tcW w:w="9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支付比例(%)</w:t>
            </w:r>
          </w:p>
        </w:tc>
        <w:tc>
          <w:tcPr>
            <w:tcW w:w="3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支付期次说明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pStyle w:val="3"/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/>
              </w:rPr>
              <w:t>100%</w:t>
            </w:r>
          </w:p>
        </w:tc>
        <w:tc>
          <w:tcPr>
            <w:tcW w:w="30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pStyle w:val="3"/>
              <w:widowControl/>
              <w:numPr>
                <w:ilvl w:val="0"/>
                <w:numId w:val="0"/>
              </w:numPr>
              <w:ind w:left="0" w:leftChars="0" w:firstLine="0" w:firstLineChars="0"/>
              <w:jc w:val="left"/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验收合格后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；甲方支付给乙方合同金额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/>
              </w:rPr>
              <w:t>100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%的款项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乙方</w:t>
            </w:r>
            <w:r>
              <w:rPr>
                <w:rFonts w:hint="eastAsia" w:ascii="宋体" w:hAnsi="宋体" w:cs="宋体"/>
                <w:kern w:val="2"/>
                <w:sz w:val="24"/>
                <w:szCs w:val="24"/>
                <w:lang w:eastAsia="zh-CN"/>
              </w:rPr>
              <w:t>在甲方付款前应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提供等额的增值税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eastAsia="zh-CN"/>
              </w:rPr>
              <w:t>普通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</w:rPr>
              <w:t>发票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宋体" w:hAnsi="宋体" w:eastAsia="宋体" w:cs="宋体"/>
          <w:spacing w:val="0"/>
          <w:sz w:val="24"/>
          <w:szCs w:val="24"/>
        </w:rPr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五</w:t>
      </w:r>
      <w:r>
        <w:rPr>
          <w:rFonts w:hint="eastAsia" w:ascii="宋体" w:hAnsi="宋体" w:eastAsia="宋体" w:cs="宋体"/>
          <w:spacing w:val="0"/>
          <w:sz w:val="24"/>
          <w:szCs w:val="24"/>
        </w:rPr>
        <w:t>、注意事项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1.参选人可通过</w:t>
      </w:r>
      <w:r>
        <w:rPr>
          <w:rFonts w:hint="eastAsia" w:hAnsi="宋体" w:cs="宋体"/>
          <w:sz w:val="24"/>
          <w:szCs w:val="24"/>
          <w:lang w:eastAsia="zh-CN"/>
        </w:rPr>
        <w:t>直接送达方式参与比选，并在密封邮件外注明“湄洲湾港口发展中心楼层网络机柜及电话线路整改报价</w:t>
      </w:r>
      <w:r>
        <w:rPr>
          <w:rFonts w:hint="eastAsia" w:hAnsi="宋体" w:cs="宋体"/>
          <w:sz w:val="24"/>
          <w:szCs w:val="24"/>
          <w:lang w:val="en-US" w:eastAsia="zh-CN"/>
        </w:rPr>
        <w:t>文</w:t>
      </w:r>
      <w:r>
        <w:rPr>
          <w:rFonts w:hint="eastAsia" w:hAnsi="宋体" w:cs="宋体"/>
          <w:sz w:val="24"/>
          <w:szCs w:val="24"/>
          <w:lang w:eastAsia="zh-CN"/>
        </w:rPr>
        <w:t>件”。未注明的参选信件视为无效参选报价信件。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sz w:val="24"/>
          <w:szCs w:val="24"/>
          <w:lang w:eastAsia="zh-CN"/>
        </w:rPr>
        <w:t>2.参选人需提供营业执照复印件（加盖公章）、报价单（注明联系人和联系电话，并加盖公章）。未注明或未加盖公章的参选信件视为无效参选报价信件。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sz w:val="24"/>
          <w:szCs w:val="24"/>
          <w:lang w:eastAsia="zh-CN"/>
        </w:rPr>
        <w:t>3.参选报价截止时间：公告发布后满</w:t>
      </w:r>
      <w:r>
        <w:rPr>
          <w:rFonts w:hint="eastAsia" w:hAnsi="宋体" w:cs="宋体"/>
          <w:sz w:val="24"/>
          <w:szCs w:val="24"/>
          <w:lang w:val="en-US" w:eastAsia="zh-CN"/>
        </w:rPr>
        <w:t>3</w:t>
      </w:r>
      <w:r>
        <w:rPr>
          <w:rFonts w:hint="eastAsia" w:hAnsi="宋体" w:cs="宋体"/>
          <w:sz w:val="24"/>
          <w:szCs w:val="24"/>
          <w:lang w:eastAsia="zh-CN"/>
        </w:rPr>
        <w:t>个工作日，以采购人收到参选信件为准。逾期视为无效参选报价信件。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sz w:val="24"/>
          <w:szCs w:val="24"/>
          <w:lang w:eastAsia="zh-CN"/>
        </w:rPr>
        <w:t>4.公告发布后，参选人可联系采购人或自行前往踏勘现场，获取编制报价的现场资料。参选人踏勘现场和参与参选所发生的一切费用由参选人自行负责。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sz w:val="24"/>
          <w:szCs w:val="24"/>
          <w:lang w:eastAsia="zh-CN"/>
        </w:rPr>
        <w:t>5.参选人接到采购人中选通知书后，在5个工作日内签订合同。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sz w:val="24"/>
          <w:szCs w:val="24"/>
          <w:lang w:eastAsia="zh-CN"/>
        </w:rPr>
        <w:t>6.联系方式：联系人：庄世芳；联系电话 ：</w:t>
      </w:r>
      <w:r>
        <w:rPr>
          <w:rFonts w:hint="eastAsia" w:hAnsi="宋体" w:cs="宋体"/>
          <w:sz w:val="24"/>
          <w:szCs w:val="24"/>
          <w:lang w:val="en-US" w:eastAsia="zh-CN"/>
        </w:rPr>
        <w:t>0595-87777075</w:t>
      </w:r>
      <w:r>
        <w:rPr>
          <w:rFonts w:hint="eastAsia" w:hAnsi="宋体" w:cs="宋体"/>
          <w:sz w:val="24"/>
          <w:szCs w:val="24"/>
          <w:lang w:eastAsia="zh-CN"/>
        </w:rPr>
        <w:t>；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Fonts w:hint="eastAsia" w:hAnsi="宋体" w:cs="宋体"/>
          <w:sz w:val="24"/>
          <w:szCs w:val="24"/>
          <w:lang w:eastAsia="zh-CN"/>
        </w:rPr>
      </w:pPr>
      <w:r>
        <w:rPr>
          <w:rFonts w:hint="eastAsia" w:hAnsi="宋体" w:cs="宋体"/>
          <w:sz w:val="24"/>
          <w:szCs w:val="24"/>
          <w:lang w:eastAsia="zh-CN"/>
        </w:rPr>
        <w:t>地址：福建省泉州市泉港区泉五中路329号。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六、预算金额：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400" w:lineRule="atLeast"/>
        <w:ind w:right="226"/>
        <w:jc w:val="left"/>
        <w:textAlignment w:val="auto"/>
        <w:rPr>
          <w:rStyle w:val="6"/>
          <w:rFonts w:hint="eastAsia" w:ascii="微软雅黑" w:hAnsi="微软雅黑" w:eastAsia="微软雅黑" w:cs="微软雅黑"/>
          <w:b/>
          <w:snapToGrid w:val="0"/>
          <w:color w:val="383838"/>
          <w:sz w:val="24"/>
          <w:szCs w:val="24"/>
          <w:shd w:val="clear" w:fill="FFFFFF"/>
        </w:rPr>
      </w:pPr>
      <w:r>
        <w:rPr>
          <w:rFonts w:hint="eastAsia" w:hAnsi="宋体" w:cs="宋体"/>
          <w:sz w:val="24"/>
          <w:szCs w:val="24"/>
          <w:lang w:eastAsia="zh-CN"/>
        </w:rPr>
        <w:t>预算金额：</w:t>
      </w:r>
      <w:r>
        <w:rPr>
          <w:rFonts w:hint="eastAsia" w:hAnsi="宋体" w:cs="宋体"/>
          <w:sz w:val="24"/>
          <w:szCs w:val="24"/>
          <w:lang w:val="en-US" w:eastAsia="zh-CN"/>
        </w:rPr>
        <w:t>3.5万元人民币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D186D"/>
    <w:multiLevelType w:val="singleLevel"/>
    <w:tmpl w:val="40BD186D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5E131E"/>
    <w:rsid w:val="071C3851"/>
    <w:rsid w:val="082C6F73"/>
    <w:rsid w:val="0D696C61"/>
    <w:rsid w:val="0F6E5820"/>
    <w:rsid w:val="50F00AAA"/>
    <w:rsid w:val="6FA60EB4"/>
    <w:rsid w:val="70F141EC"/>
    <w:rsid w:val="71085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99"/>
    <w:pPr>
      <w:widowControl w:val="0"/>
      <w:adjustRightInd/>
      <w:snapToGrid/>
      <w:spacing w:after="0"/>
      <w:jc w:val="both"/>
    </w:pPr>
    <w:rPr>
      <w:rFonts w:ascii="宋体" w:hAnsi="Courier New" w:eastAsia="宋体" w:cs="宋体"/>
      <w:kern w:val="2"/>
      <w:sz w:val="21"/>
      <w:szCs w:val="21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rFonts w:hint="eastAsia" w:ascii="微软雅黑" w:hAnsi="微软雅黑" w:eastAsia="微软雅黑" w:cs="微软雅黑"/>
      <w:color w:val="02396F"/>
      <w:u w:val="single"/>
    </w:rPr>
  </w:style>
  <w:style w:type="character" w:styleId="8">
    <w:name w:val="Hyperlink"/>
    <w:basedOn w:val="5"/>
    <w:qFormat/>
    <w:uiPriority w:val="0"/>
    <w:rPr>
      <w:rFonts w:hint="eastAsia" w:ascii="微软雅黑" w:hAnsi="微软雅黑" w:eastAsia="微软雅黑" w:cs="微软雅黑"/>
      <w:color w:val="02396F"/>
      <w:u w:val="single"/>
    </w:rPr>
  </w:style>
  <w:style w:type="character" w:customStyle="1" w:styleId="9">
    <w:name w:val="prev"/>
    <w:basedOn w:val="5"/>
    <w:qFormat/>
    <w:uiPriority w:val="0"/>
    <w:rPr>
      <w:color w:val="888888"/>
    </w:rPr>
  </w:style>
  <w:style w:type="character" w:customStyle="1" w:styleId="10">
    <w:name w:val="prev1"/>
    <w:basedOn w:val="5"/>
    <w:qFormat/>
    <w:uiPriority w:val="0"/>
    <w:rPr>
      <w:rFonts w:ascii="微软雅黑" w:hAnsi="微软雅黑" w:eastAsia="微软雅黑" w:cs="微软雅黑"/>
      <w:sz w:val="21"/>
      <w:szCs w:val="21"/>
    </w:rPr>
  </w:style>
  <w:style w:type="character" w:customStyle="1" w:styleId="11">
    <w:name w:val="qxdate"/>
    <w:basedOn w:val="5"/>
    <w:qFormat/>
    <w:uiPriority w:val="0"/>
    <w:rPr>
      <w:color w:val="333333"/>
      <w:sz w:val="18"/>
      <w:szCs w:val="18"/>
    </w:rPr>
  </w:style>
  <w:style w:type="character" w:customStyle="1" w:styleId="12">
    <w:name w:val="next2"/>
    <w:basedOn w:val="5"/>
    <w:qFormat/>
    <w:uiPriority w:val="0"/>
    <w:rPr>
      <w:color w:val="888888"/>
    </w:rPr>
  </w:style>
  <w:style w:type="character" w:customStyle="1" w:styleId="13">
    <w:name w:val="next3"/>
    <w:basedOn w:val="5"/>
    <w:qFormat/>
    <w:uiPriority w:val="0"/>
    <w:rPr>
      <w:rFonts w:hint="eastAsia" w:ascii="微软雅黑" w:hAnsi="微软雅黑" w:eastAsia="微软雅黑" w:cs="微软雅黑"/>
      <w:sz w:val="21"/>
      <w:szCs w:val="21"/>
    </w:rPr>
  </w:style>
  <w:style w:type="character" w:customStyle="1" w:styleId="14">
    <w:name w:val="redfilefwwh"/>
    <w:basedOn w:val="5"/>
    <w:qFormat/>
    <w:uiPriority w:val="0"/>
    <w:rPr>
      <w:color w:val="BA2636"/>
      <w:sz w:val="18"/>
      <w:szCs w:val="18"/>
    </w:rPr>
  </w:style>
  <w:style w:type="character" w:customStyle="1" w:styleId="15">
    <w:name w:val="redfilenumber"/>
    <w:basedOn w:val="5"/>
    <w:qFormat/>
    <w:uiPriority w:val="0"/>
    <w:rPr>
      <w:color w:val="BA2636"/>
      <w:sz w:val="18"/>
      <w:szCs w:val="18"/>
    </w:rPr>
  </w:style>
  <w:style w:type="character" w:customStyle="1" w:styleId="16">
    <w:name w:val="gjfg"/>
    <w:basedOn w:val="5"/>
    <w:qFormat/>
    <w:uiPriority w:val="0"/>
  </w:style>
  <w:style w:type="character" w:customStyle="1" w:styleId="17">
    <w:name w:val="cfdate"/>
    <w:basedOn w:val="5"/>
    <w:qFormat/>
    <w:uiPriority w:val="0"/>
    <w:rPr>
      <w:color w:val="333333"/>
      <w:sz w:val="18"/>
      <w:szCs w:val="18"/>
    </w:rPr>
  </w:style>
  <w:style w:type="character" w:customStyle="1" w:styleId="18">
    <w:name w:val="displayarti"/>
    <w:basedOn w:val="5"/>
    <w:qFormat/>
    <w:uiPriority w:val="0"/>
    <w:rPr>
      <w:color w:val="FFFFFF"/>
      <w:shd w:val="clear" w:fill="A00000"/>
    </w:rPr>
  </w:style>
  <w:style w:type="paragraph" w:customStyle="1" w:styleId="19">
    <w:name w:val="样式3"/>
    <w:basedOn w:val="2"/>
    <w:qFormat/>
    <w:uiPriority w:val="99"/>
    <w:pPr>
      <w:spacing w:line="240" w:lineRule="atLeast"/>
      <w:outlineLvl w:val="0"/>
    </w:pPr>
    <w:rPr>
      <w:sz w:val="28"/>
      <w:szCs w:val="28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  <w:style w:type="paragraph" w:customStyle="1" w:styleId="21">
    <w:name w:val="No Spacing"/>
    <w:qFormat/>
    <w:uiPriority w:val="0"/>
    <w:pPr>
      <w:widowControl w:val="0"/>
      <w:spacing w:after="0" w:line="360" w:lineRule="auto"/>
      <w:ind w:firstLine="200" w:firstLineChars="200"/>
      <w:jc w:val="both"/>
    </w:pPr>
    <w:rPr>
      <w:rFonts w:ascii="Calibri" w:hAnsi="Calibri" w:eastAsia="宋体" w:cs="Calibri"/>
      <w:kern w:val="2"/>
      <w:sz w:val="28"/>
      <w:szCs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2020-11-18T08:13:00Z</dcterms:created>
  <dc:creator>Lenovo</dc:creator>
  <cp:lastModifiedBy>stint</cp:lastModifiedBy>
  <dcterms:modified xsi:type="dcterms:W3CDTF">2020-12-07T09:28:36Z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