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黑体" w:hAnsi="黑体" w:eastAsia="黑体" w:cs="黑体"/>
          <w:i w:val="0"/>
          <w:caps w:val="0"/>
          <w:color w:val="333333"/>
          <w:spacing w:val="0"/>
          <w:sz w:val="28"/>
          <w:szCs w:val="28"/>
          <w:shd w:val="clear" w:color="auto" w:fill="FFFFFF"/>
          <w:lang w:eastAsia="zh"/>
        </w:rPr>
      </w:pPr>
      <w:r>
        <w:rPr>
          <w:rFonts w:hint="eastAsia" w:ascii="黑体" w:hAnsi="黑体" w:eastAsia="黑体" w:cs="黑体"/>
          <w:i w:val="0"/>
          <w:caps w:val="0"/>
          <w:color w:val="333333"/>
          <w:spacing w:val="0"/>
          <w:sz w:val="28"/>
          <w:szCs w:val="28"/>
          <w:shd w:val="clear" w:color="auto" w:fill="FFFFFF"/>
        </w:rPr>
        <w:t>附</w:t>
      </w:r>
      <w:r>
        <w:rPr>
          <w:rFonts w:hint="eastAsia" w:ascii="黑体" w:hAnsi="黑体" w:eastAsia="黑体" w:cs="黑体"/>
          <w:i w:val="0"/>
          <w:caps w:val="0"/>
          <w:color w:val="333333"/>
          <w:spacing w:val="0"/>
          <w:sz w:val="28"/>
          <w:szCs w:val="28"/>
          <w:shd w:val="clear" w:color="auto" w:fill="FFFFFF"/>
          <w:lang w:eastAsia="zh"/>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i w:val="0"/>
          <w:caps w:val="0"/>
          <w:color w:val="333333"/>
          <w:spacing w:val="0"/>
          <w:sz w:val="44"/>
          <w:szCs w:val="44"/>
          <w:shd w:val="clear" w:color="auto" w:fill="FFFFFF"/>
        </w:rPr>
        <w:t>202</w:t>
      </w:r>
      <w: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i w:val="0"/>
          <w:caps w:val="0"/>
          <w:color w:val="333333"/>
          <w:spacing w:val="0"/>
          <w:sz w:val="44"/>
          <w:szCs w:val="44"/>
          <w:shd w:val="clear" w:color="auto" w:fill="FFFFFF"/>
        </w:rPr>
        <w:t>年第</w:t>
      </w:r>
      <w: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t>二</w:t>
      </w:r>
      <w:r>
        <w:rPr>
          <w:rFonts w:hint="eastAsia" w:ascii="方正小标宋简体" w:hAnsi="方正小标宋简体" w:eastAsia="方正小标宋简体" w:cs="方正小标宋简体"/>
          <w:i w:val="0"/>
          <w:caps w:val="0"/>
          <w:color w:val="333333"/>
          <w:spacing w:val="0"/>
          <w:sz w:val="44"/>
          <w:szCs w:val="44"/>
          <w:shd w:val="clear" w:color="auto" w:fill="FFFFFF"/>
        </w:rPr>
        <w:t>批公路水运</w:t>
      </w: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工程质量</w:t>
      </w:r>
      <w:r>
        <w:rPr>
          <w:rFonts w:hint="eastAsia" w:ascii="方正小标宋简体" w:hAnsi="方正小标宋简体" w:eastAsia="方正小标宋简体" w:cs="方正小标宋简体"/>
          <w:i w:val="0"/>
          <w:caps w:val="0"/>
          <w:color w:val="333333"/>
          <w:spacing w:val="0"/>
          <w:sz w:val="44"/>
          <w:szCs w:val="44"/>
          <w:shd w:val="clear" w:color="auto" w:fill="FFFFFF"/>
        </w:rPr>
        <w:t>检测机构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lang w:eastAsia="zh-CN"/>
        </w:rPr>
      </w:pPr>
      <w:r>
        <w:rPr>
          <w:rFonts w:hint="eastAsia" w:ascii="方正小标宋简体" w:hAnsi="方正小标宋简体" w:eastAsia="方正小标宋简体" w:cs="方正小标宋简体"/>
          <w:i w:val="0"/>
          <w:caps w:val="0"/>
          <w:color w:val="333333"/>
          <w:spacing w:val="0"/>
          <w:sz w:val="44"/>
          <w:szCs w:val="44"/>
          <w:shd w:val="clear" w:color="auto" w:fill="FFFFFF"/>
        </w:rPr>
        <w:t>“双随机</w:t>
      </w: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w:t>
      </w:r>
      <w:r>
        <w:rPr>
          <w:rFonts w:hint="eastAsia" w:ascii="方正小标宋简体" w:hAnsi="方正小标宋简体" w:eastAsia="方正小标宋简体" w:cs="方正小标宋简体"/>
          <w:i w:val="0"/>
          <w:caps w:val="0"/>
          <w:color w:val="333333"/>
          <w:spacing w:val="0"/>
          <w:sz w:val="44"/>
          <w:szCs w:val="44"/>
          <w:shd w:val="clear" w:color="auto" w:fill="FFFFFF"/>
        </w:rPr>
        <w:t>一公开”</w:t>
      </w: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抽查情况通报</w:t>
      </w:r>
    </w:p>
    <w:tbl>
      <w:tblPr>
        <w:tblStyle w:val="4"/>
        <w:tblW w:w="0" w:type="auto"/>
        <w:tblInd w:w="-3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5"/>
        <w:gridCol w:w="795"/>
        <w:gridCol w:w="881"/>
        <w:gridCol w:w="889"/>
        <w:gridCol w:w="5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9" w:hRule="atLeast"/>
        </w:trPr>
        <w:tc>
          <w:tcPr>
            <w:tcW w:w="70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center"/>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b/>
                <w:i w:val="0"/>
                <w:caps w:val="0"/>
                <w:color w:val="auto"/>
                <w:spacing w:val="0"/>
                <w:kern w:val="0"/>
                <w:sz w:val="24"/>
                <w:szCs w:val="24"/>
                <w:lang w:val="en-US" w:eastAsia="zh-CN" w:bidi="ar"/>
              </w:rPr>
              <w:t>序号</w:t>
            </w:r>
          </w:p>
        </w:tc>
        <w:tc>
          <w:tcPr>
            <w:tcW w:w="79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center"/>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b/>
                <w:i w:val="0"/>
                <w:caps w:val="0"/>
                <w:color w:val="auto"/>
                <w:spacing w:val="0"/>
                <w:kern w:val="0"/>
                <w:sz w:val="24"/>
                <w:szCs w:val="24"/>
                <w:lang w:val="en-US" w:eastAsia="zh-CN" w:bidi="ar"/>
              </w:rPr>
              <w:t>抽查企业</w:t>
            </w:r>
          </w:p>
        </w:tc>
        <w:tc>
          <w:tcPr>
            <w:tcW w:w="88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center"/>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b/>
                <w:i w:val="0"/>
                <w:caps w:val="0"/>
                <w:color w:val="auto"/>
                <w:spacing w:val="0"/>
                <w:kern w:val="0"/>
                <w:sz w:val="24"/>
                <w:szCs w:val="24"/>
                <w:lang w:val="en-US" w:eastAsia="zh-CN" w:bidi="ar"/>
              </w:rPr>
              <w:t>抽查事项</w:t>
            </w:r>
          </w:p>
        </w:tc>
        <w:tc>
          <w:tcPr>
            <w:tcW w:w="88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center"/>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b/>
                <w:i w:val="0"/>
                <w:caps w:val="0"/>
                <w:color w:val="auto"/>
                <w:spacing w:val="0"/>
                <w:kern w:val="0"/>
                <w:sz w:val="24"/>
                <w:szCs w:val="24"/>
                <w:lang w:val="en-US" w:eastAsia="zh-CN" w:bidi="ar"/>
              </w:rPr>
              <w:t>抽查日期</w:t>
            </w:r>
          </w:p>
        </w:tc>
        <w:tc>
          <w:tcPr>
            <w:tcW w:w="56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b/>
                <w:i w:val="0"/>
                <w:caps w:val="0"/>
                <w:color w:val="auto"/>
                <w:spacing w:val="0"/>
                <w:kern w:val="0"/>
                <w:sz w:val="24"/>
                <w:szCs w:val="24"/>
                <w:lang w:val="en-US" w:eastAsia="zh-CN" w:bidi="ar"/>
              </w:rPr>
              <w:t>存在问题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9" w:hRule="atLeast"/>
        </w:trPr>
        <w:tc>
          <w:tcPr>
            <w:tcW w:w="70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1</w:t>
            </w:r>
          </w:p>
        </w:tc>
        <w:tc>
          <w:tcPr>
            <w:tcW w:w="79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莆田市建诚工程检测有限公司</w:t>
            </w:r>
          </w:p>
        </w:tc>
        <w:tc>
          <w:tcPr>
            <w:tcW w:w="88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2024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-9-24</w:t>
            </w:r>
          </w:p>
        </w:tc>
        <w:tc>
          <w:tcPr>
            <w:tcW w:w="56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（一）仪器设备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1.集料取样缺取样管；路基路面回弹弯沉试验未配备胎压计及路表温度计；环刀法压实度未配备取土器；马歇尔击实仪未配备大型马歇尔配件（击实锤、试膜、套筒、底座）。</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2.编号LQ-005针入度仪所配标准针未校准针质量；编号JL-045集料室恒温水箱未对23℃温度点进行校准。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3.水泥室负压筛析仪45µm、80µm套筛未进行唯一性编号，未标识校正系数结果。</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4.编号TG-021 CBR仪贯入杆直径未进行核查；编号JL017粗集料压碎值仪未对底板尺寸、集料接触表面硬度进行核查。</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5.外检室仪器设备无仪器使用记录表。</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（二）试验检测环境</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收样室无温控设施。</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（三）报告和记录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1.无侧限抗压强度试验检测报告信息不全，缺材料的颗粒组成、水泥的种类和强度等级、最大干密度和最佳含水率信息。</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2.钢筋焊接力学试验检测原始记录表未记录焊接件断口具体位置。</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3.路基路面回弹弯沉试验检测记录表中未附当量圆面积测试记录，未测单侧双轮质量。</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（四）样品管理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1.砼抗渗室中正在进行抗渗试验的试件未按标准要求刷除试件两端浆膜。</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2.恒温水养护箱中养护的水泥胶砂试件试体之间间隔小于5mm。</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（五）管理体系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1.“万能试验机期间核查作业指导书”期间核查结果评价无理论依据。</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2.JT/T 523-2022标准实施后，未进行标准验证、未制订质量监督计划并实施。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9" w:hRule="atLeast"/>
        </w:trPr>
        <w:tc>
          <w:tcPr>
            <w:tcW w:w="70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2</w:t>
            </w:r>
          </w:p>
        </w:tc>
        <w:tc>
          <w:tcPr>
            <w:tcW w:w="79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福建省高速公路达通检测有限公司</w:t>
            </w:r>
          </w:p>
        </w:tc>
        <w:tc>
          <w:tcPr>
            <w:tcW w:w="88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202</w:t>
            </w:r>
            <w:r>
              <w:rPr>
                <w:rFonts w:hint="default" w:ascii="仿宋_GB2312" w:hAnsi="仿宋_GB2312" w:eastAsia="仿宋_GB2312" w:cs="仿宋_GB2312"/>
                <w:b/>
                <w:bCs w:val="0"/>
                <w:color w:val="auto"/>
                <w:sz w:val="20"/>
                <w:szCs w:val="20"/>
                <w:lang w:val="en" w:eastAsia="zh-CN"/>
              </w:rPr>
              <w:t>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-10-1</w:t>
            </w:r>
            <w:r>
              <w:rPr>
                <w:rFonts w:hint="default" w:ascii="仿宋_GB2312" w:hAnsi="仿宋_GB2312" w:eastAsia="仿宋_GB2312" w:cs="仿宋_GB2312"/>
                <w:b/>
                <w:bCs w:val="0"/>
                <w:color w:val="auto"/>
                <w:sz w:val="20"/>
                <w:szCs w:val="20"/>
                <w:lang w:val="en" w:eastAsia="zh-CN"/>
              </w:rPr>
              <w:t>7</w:t>
            </w:r>
          </w:p>
        </w:tc>
        <w:tc>
          <w:tcPr>
            <w:tcW w:w="56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（一）人员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试验检测工程师陈*交安B证注册在其他单位。退休人员张**劳务关系证明无法提供。</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（二）仪器设备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1.2024年5月16日验收的“减水剂专用机制砂”核查结果未进行确认；自制超纯水未按规定进行验收，未建立相应的受控编号和有效期。</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2.基准水泥、标准砂、ISO砂未按标准物质要求进行管理；粗集料磨光值检测用橡胶轮未在（20±5）℃的条件下避光保存，橡胶片未在不超过15℃温度条件下袋中密封、避光存放。</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编号FFS-034的卧式冷藏冷冻转换柜未校准-35℃温度点；编号FFS-041橡胶测厚仪未校准测量面直径和施加在卷材表面的20kPa压力点；编号FFS-039低温柔性一体机未校准圆筒的直径以及弯曲轴（360±40）mm/min的移动速度；编号FFS-037橡胶低温脆性测定仪未校准冲击头的冲击速度、冲击头半径、冲击头和夹持器之间的间隙以及冲击点和试样夹持间的距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（三）试验检测环境</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集料室放置2台烘箱，对环境条件存在干扰。</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（四）报告和记录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1.沥青防水卷材试验检测报告厚度平均值修约至0.01mm，不符合GB/T328.4-2007修约至0.1mm的规定。</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2.钢结构防腐涂层厚度报告记录中，A3节段的涂层厚度，缺测点布置图。</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3.桥梁桩基超声波法完整性检测报告未附波列图。</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4.路基压实度和弯沉检测记录中，未体现现场锥体砂质量的中间数据（灌砂前、灌砂后灌砂筒加砂质量），回弹弯沉未体现主要设备胎压计信息。</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（五）检测方法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止水带外观质量检测未编制作业指导书。</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（六）管理体系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1.编号YP-2024-GJJ-245钢筋样品标识无细分号。</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2.编号YJL-054水泥胶砂试件，试件表面的养护水深度小于5mm。</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方正黑体_GBK" w:hAnsi="方正黑体_GBK" w:eastAsia="方正黑体_GBK" w:cs="方正黑体_GBK"/>
                <w:b/>
                <w:i w:val="0"/>
                <w:caps w:val="0"/>
                <w:color w:val="auto"/>
                <w:spacing w:val="0"/>
                <w:kern w:val="0"/>
                <w:sz w:val="24"/>
                <w:szCs w:val="24"/>
                <w:lang w:val="en-US" w:eastAsia="zh-CN" w:bidi="ar"/>
              </w:rPr>
            </w:pPr>
            <w:r>
              <w:rPr>
                <w:rFonts w:hint="eastAsia" w:ascii="仿宋_GB2312" w:hAnsi="仿宋_GB2312" w:eastAsia="仿宋_GB2312" w:cs="仿宋_GB2312"/>
                <w:b/>
                <w:bCs w:val="0"/>
                <w:color w:val="auto"/>
                <w:sz w:val="20"/>
                <w:szCs w:val="20"/>
                <w:lang w:val="en-US" w:eastAsia="zh-CN"/>
              </w:rPr>
              <w:t>3.编号FGJ-006微机静载锚固试验机上墙操作规程（MGDJ/CZY-CG-YG001）未编制“涉及安全”预防措施方案或“安全注意事项”内容。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70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w:t>
            </w:r>
          </w:p>
        </w:tc>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福建定正工程质量检测有限公司</w:t>
            </w:r>
          </w:p>
        </w:tc>
        <w:tc>
          <w:tcPr>
            <w:tcW w:w="88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2024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 w:eastAsia="zh-CN"/>
              </w:rPr>
              <w:t>-</w:t>
            </w:r>
            <w:r>
              <w:rPr>
                <w:rFonts w:hint="eastAsia" w:ascii="仿宋_GB2312" w:hAnsi="仿宋_GB2312" w:eastAsia="仿宋_GB2312" w:cs="仿宋_GB2312"/>
                <w:b/>
                <w:bCs w:val="0"/>
                <w:color w:val="auto"/>
                <w:sz w:val="20"/>
                <w:szCs w:val="20"/>
                <w:lang w:val="en-US" w:eastAsia="zh-CN"/>
              </w:rPr>
              <w:t>10</w:t>
            </w:r>
            <w:r>
              <w:rPr>
                <w:rFonts w:hint="eastAsia" w:ascii="仿宋_GB2312" w:hAnsi="仿宋_GB2312" w:eastAsia="仿宋_GB2312" w:cs="仿宋_GB2312"/>
                <w:b/>
                <w:bCs w:val="0"/>
                <w:color w:val="auto"/>
                <w:sz w:val="20"/>
                <w:szCs w:val="20"/>
                <w:lang w:val="en" w:eastAsia="zh-CN"/>
              </w:rPr>
              <w:t>-</w:t>
            </w:r>
            <w:r>
              <w:rPr>
                <w:rFonts w:hint="eastAsia" w:ascii="仿宋_GB2312" w:hAnsi="仿宋_GB2312" w:eastAsia="仿宋_GB2312" w:cs="仿宋_GB2312"/>
                <w:b/>
                <w:bCs w:val="0"/>
                <w:color w:val="auto"/>
                <w:sz w:val="20"/>
                <w:szCs w:val="20"/>
                <w:lang w:val="en-US" w:eastAsia="zh-CN"/>
              </w:rPr>
              <w:t>23</w:t>
            </w:r>
          </w:p>
        </w:tc>
        <w:tc>
          <w:tcPr>
            <w:tcW w:w="562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（一）人员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注册人员王</w:t>
            </w:r>
            <w:r>
              <w:rPr>
                <w:rStyle w:val="6"/>
                <w:rFonts w:hint="eastAsia" w:ascii="仿宋_GB2312" w:hAnsi="仿宋_GB2312" w:eastAsia="仿宋_GB2312" w:cs="仿宋_GB2312"/>
                <w:b/>
                <w:bCs w:val="0"/>
                <w:color w:val="auto"/>
                <w:sz w:val="20"/>
                <w:szCs w:val="20"/>
                <w:lang w:val="en-US" w:eastAsia="zh-CN"/>
              </w:rPr>
              <w:t>**</w:t>
            </w:r>
            <w:r>
              <w:rPr>
                <w:rStyle w:val="6"/>
                <w:rFonts w:hint="eastAsia" w:ascii="仿宋_GB2312" w:hAnsi="仿宋_GB2312" w:eastAsia="仿宋_GB2312" w:cs="仿宋_GB2312"/>
                <w:b/>
                <w:bCs w:val="0"/>
                <w:color w:val="auto"/>
                <w:sz w:val="20"/>
                <w:szCs w:val="20"/>
              </w:rPr>
              <w:t>等3人未在岗。</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（二）仪器设备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1.沥青含量试验缺燃烧炉（实际未开展沥青含量试验工作）</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2.粗集料密度及吸水率试验（网篮法）缺盛水容器；编号TG-09、SN-15电子天平无仪器使用记录</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3.编号LQ-17低温溢流水箱未对集料密度试验、沥青混合料密度要求的温度检定/校准</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4.编号XC-31多通道超声基桩检测仪仪器设备检定/校准结果确认记录表中未对使用的相应规范进行确认。</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（三）试验检测环境</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水泥混凝土室温度控制标识为20℃±3℃</w:t>
            </w:r>
            <w:r>
              <w:rPr>
                <w:rStyle w:val="6"/>
                <w:rFonts w:hint="eastAsia" w:ascii="仿宋_GB2312" w:hAnsi="仿宋_GB2312" w:eastAsia="仿宋_GB2312" w:cs="仿宋_GB2312"/>
                <w:b/>
                <w:bCs w:val="0"/>
                <w:color w:val="auto"/>
                <w:sz w:val="20"/>
                <w:szCs w:val="20"/>
                <w:lang w:eastAsia="zh-CN"/>
              </w:rPr>
              <w:t>，</w:t>
            </w:r>
            <w:r>
              <w:rPr>
                <w:rStyle w:val="6"/>
                <w:rFonts w:hint="eastAsia" w:ascii="仿宋_GB2312" w:hAnsi="仿宋_GB2312" w:eastAsia="仿宋_GB2312" w:cs="仿宋_GB2312"/>
                <w:b/>
                <w:bCs w:val="0"/>
                <w:color w:val="auto"/>
                <w:sz w:val="20"/>
                <w:szCs w:val="20"/>
              </w:rPr>
              <w:t>不符合水泥凝结时间试验要求。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（四）报告和记录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1.试验检测记录表检测与记录同一人，无复诵人员</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2.水泥检测委托协议书检测依据标准规范未注明年号</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3.水泥胶砂强度试验检测记录信息无水泥胶砂配合比</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4.水泥混凝土路面（钻芯法）试验检测记录中芯样尺寸偏差缺不平整度、不垂直度检测数据</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5.粗集料试验检测报告和记录未注明样品缩分方法</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rPr>
              <w:t>6.钢筋重量偏差</w:t>
            </w:r>
            <w:r>
              <w:rPr>
                <w:rStyle w:val="6"/>
                <w:rFonts w:hint="eastAsia" w:ascii="仿宋_GB2312" w:hAnsi="仿宋_GB2312" w:eastAsia="仿宋_GB2312" w:cs="仿宋_GB2312"/>
                <w:b/>
                <w:bCs w:val="0"/>
                <w:color w:val="auto"/>
                <w:sz w:val="20"/>
                <w:szCs w:val="20"/>
                <w:lang w:val="en-US" w:eastAsia="zh-CN"/>
              </w:rPr>
              <w:t>试验报告的</w:t>
            </w:r>
            <w:r>
              <w:rPr>
                <w:rStyle w:val="6"/>
                <w:rFonts w:hint="eastAsia" w:ascii="仿宋_GB2312" w:hAnsi="仿宋_GB2312" w:eastAsia="仿宋_GB2312" w:cs="仿宋_GB2312"/>
                <w:b/>
                <w:bCs w:val="0"/>
                <w:color w:val="auto"/>
                <w:sz w:val="20"/>
                <w:szCs w:val="20"/>
              </w:rPr>
              <w:t>检测依据不准确。</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lang w:eastAsia="zh-CN"/>
              </w:rPr>
              <w:t>（</w:t>
            </w:r>
            <w:r>
              <w:rPr>
                <w:rStyle w:val="6"/>
                <w:rFonts w:hint="eastAsia" w:ascii="仿宋_GB2312" w:hAnsi="仿宋_GB2312" w:eastAsia="仿宋_GB2312" w:cs="仿宋_GB2312"/>
                <w:b/>
                <w:bCs w:val="0"/>
                <w:color w:val="auto"/>
                <w:sz w:val="20"/>
                <w:szCs w:val="20"/>
              </w:rPr>
              <w:t>五</w:t>
            </w:r>
            <w:r>
              <w:rPr>
                <w:rStyle w:val="6"/>
                <w:rFonts w:hint="eastAsia" w:ascii="仿宋_GB2312" w:hAnsi="仿宋_GB2312" w:eastAsia="仿宋_GB2312" w:cs="仿宋_GB2312"/>
                <w:b/>
                <w:bCs w:val="0"/>
                <w:color w:val="auto"/>
                <w:sz w:val="20"/>
                <w:szCs w:val="20"/>
                <w:lang w:eastAsia="zh-CN"/>
              </w:rPr>
              <w:t>）</w:t>
            </w:r>
            <w:r>
              <w:rPr>
                <w:rStyle w:val="6"/>
                <w:rFonts w:hint="eastAsia" w:ascii="仿宋_GB2312" w:hAnsi="仿宋_GB2312" w:eastAsia="仿宋_GB2312" w:cs="仿宋_GB2312"/>
                <w:b/>
                <w:bCs w:val="0"/>
                <w:color w:val="auto"/>
                <w:sz w:val="20"/>
                <w:szCs w:val="20"/>
              </w:rPr>
              <w:t>样品管理</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1.养护室水泥混凝土试件纸片标识易脱落</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lang w:eastAsia="zh-CN"/>
              </w:rPr>
            </w:pPr>
            <w:r>
              <w:rPr>
                <w:rStyle w:val="6"/>
                <w:rFonts w:hint="eastAsia" w:ascii="仿宋_GB2312" w:hAnsi="仿宋_GB2312" w:eastAsia="仿宋_GB2312" w:cs="仿宋_GB2312"/>
                <w:b/>
                <w:bCs w:val="0"/>
                <w:color w:val="auto"/>
                <w:sz w:val="20"/>
                <w:szCs w:val="20"/>
              </w:rPr>
              <w:t>2.编号YP-2024-C2-0005水泥留样数量5.3kg</w:t>
            </w:r>
            <w:r>
              <w:rPr>
                <w:rStyle w:val="6"/>
                <w:rFonts w:hint="eastAsia" w:ascii="仿宋_GB2312" w:hAnsi="仿宋_GB2312" w:eastAsia="仿宋_GB2312" w:cs="仿宋_GB2312"/>
                <w:b/>
                <w:bCs w:val="0"/>
                <w:color w:val="auto"/>
                <w:sz w:val="20"/>
                <w:szCs w:val="20"/>
                <w:lang w:eastAsia="zh-CN"/>
              </w:rPr>
              <w:t>，</w:t>
            </w:r>
            <w:r>
              <w:rPr>
                <w:rStyle w:val="6"/>
                <w:rFonts w:hint="eastAsia" w:ascii="仿宋_GB2312" w:hAnsi="仿宋_GB2312" w:eastAsia="仿宋_GB2312" w:cs="仿宋_GB2312"/>
                <w:b/>
                <w:bCs w:val="0"/>
                <w:color w:val="auto"/>
                <w:sz w:val="20"/>
                <w:szCs w:val="20"/>
              </w:rPr>
              <w:t>不足6kg</w:t>
            </w:r>
            <w:r>
              <w:rPr>
                <w:rStyle w:val="6"/>
                <w:rFonts w:hint="eastAsia" w:ascii="仿宋_GB2312" w:hAnsi="仿宋_GB2312" w:eastAsia="仿宋_GB2312" w:cs="仿宋_GB2312"/>
                <w:b/>
                <w:bCs w:val="0"/>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320" w:lineRule="atLeast"/>
              <w:textAlignment w:val="baseline"/>
              <w:rPr>
                <w:rStyle w:val="6"/>
                <w:rFonts w:hint="eastAsia" w:ascii="仿宋_GB2312" w:hAnsi="仿宋_GB2312" w:eastAsia="仿宋_GB2312" w:cs="仿宋_GB2312"/>
                <w:b/>
                <w:bCs w:val="0"/>
                <w:color w:val="auto"/>
                <w:sz w:val="20"/>
                <w:szCs w:val="20"/>
              </w:rPr>
            </w:pPr>
            <w:r>
              <w:rPr>
                <w:rStyle w:val="6"/>
                <w:rFonts w:hint="eastAsia" w:ascii="仿宋_GB2312" w:hAnsi="仿宋_GB2312" w:eastAsia="仿宋_GB2312" w:cs="仿宋_GB2312"/>
                <w:b/>
                <w:bCs w:val="0"/>
                <w:color w:val="auto"/>
                <w:sz w:val="20"/>
                <w:szCs w:val="20"/>
                <w:lang w:eastAsia="zh-CN"/>
              </w:rPr>
              <w:t>（六）</w:t>
            </w:r>
            <w:r>
              <w:rPr>
                <w:rStyle w:val="6"/>
                <w:rFonts w:hint="eastAsia" w:ascii="仿宋_GB2312" w:hAnsi="仿宋_GB2312" w:eastAsia="仿宋_GB2312" w:cs="仿宋_GB2312"/>
                <w:b/>
                <w:bCs w:val="0"/>
                <w:color w:val="auto"/>
                <w:sz w:val="20"/>
                <w:szCs w:val="20"/>
              </w:rPr>
              <w:t>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lang w:eastAsia="zh-CN"/>
              </w:rPr>
            </w:pPr>
            <w:r>
              <w:rPr>
                <w:rStyle w:val="6"/>
                <w:rFonts w:hint="eastAsia" w:ascii="仿宋_GB2312" w:hAnsi="仿宋_GB2312" w:eastAsia="仿宋_GB2312" w:cs="仿宋_GB2312"/>
                <w:b/>
                <w:bCs w:val="0"/>
                <w:color w:val="auto"/>
                <w:sz w:val="20"/>
                <w:szCs w:val="20"/>
              </w:rPr>
              <w:t>编号SN-03水泥胶砂搅拌机缺加砂完全性作业指导书</w:t>
            </w:r>
            <w:r>
              <w:rPr>
                <w:rStyle w:val="6"/>
                <w:rFonts w:hint="eastAsia" w:ascii="仿宋_GB2312" w:hAnsi="仿宋_GB2312" w:eastAsia="仿宋_GB2312" w:cs="仿宋_GB2312"/>
                <w:b/>
                <w:bCs w:val="0"/>
                <w:color w:val="auto"/>
                <w:sz w:val="20"/>
                <w:szCs w:val="20"/>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70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4</w:t>
            </w:r>
          </w:p>
        </w:tc>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泉州市中路工程检测有限公司</w:t>
            </w:r>
          </w:p>
        </w:tc>
        <w:tc>
          <w:tcPr>
            <w:tcW w:w="88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2024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-10-23</w:t>
            </w:r>
          </w:p>
        </w:tc>
        <w:tc>
          <w:tcPr>
            <w:tcW w:w="562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（一）仪器设备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1.水泥标准稠度用水量试验、安定性试验缺代用法维卡仪（实际未使用代用法开展标准稠度用水量、安定性试验工作）。</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2.编号095-1斜塞尺检定/校准周期为一年，不符合JJG 62-2017要求。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3.编号049比表面积用穿孔板材质为铜质，不符合JC∕T 956-2014要求。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4.编号059坍落度筒采用有缝钢管制成，不符合JG∕T 248-2009要求。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5.编号249水泥胶砂搅拌机缺自动开始加砂并在15s内全部加完的确认记录。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6.编号245、181电子天平缺仪器使用记录。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（二）报告和记录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1.集料、水泥试验检测记录表检测与记录同一人，无复诵人员。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2.编号24L3-067碎石检测委托协议书检测依据标准规范未注明年号。</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3.编号24L3-081粗集料试验检测报告和记录未注明样品缩分方法。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（三）样品管理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1.留样室内，外加剂试验用的粗细集料无样品标识。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2.养护室水泥混凝土试件纸片标识易脱落。</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（四）管理体系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i w:val="0"/>
                <w:caps w:val="0"/>
                <w:color w:val="auto"/>
                <w:spacing w:val="0"/>
                <w:kern w:val="0"/>
                <w:sz w:val="20"/>
                <w:szCs w:val="20"/>
                <w:lang w:val="en-US" w:eastAsia="zh-CN" w:bidi="ar"/>
              </w:rPr>
            </w:pPr>
            <w:r>
              <w:rPr>
                <w:rFonts w:hint="eastAsia" w:ascii="仿宋_GB2312" w:hAnsi="仿宋_GB2312" w:eastAsia="仿宋_GB2312" w:cs="仿宋_GB2312"/>
                <w:b/>
                <w:bCs w:val="0"/>
                <w:i w:val="0"/>
                <w:caps w:val="0"/>
                <w:color w:val="auto"/>
                <w:spacing w:val="0"/>
                <w:kern w:val="0"/>
                <w:sz w:val="20"/>
                <w:szCs w:val="20"/>
                <w:lang w:val="en-US" w:eastAsia="zh-CN" w:bidi="ar"/>
              </w:rPr>
              <w:t>编号249水泥胶砂搅拌机缺加砂完全性作业指导书。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70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5</w:t>
            </w:r>
          </w:p>
        </w:tc>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泉州四方晟途工程检测有限公司</w:t>
            </w:r>
          </w:p>
        </w:tc>
        <w:tc>
          <w:tcPr>
            <w:tcW w:w="88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2024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-10-24</w:t>
            </w:r>
          </w:p>
        </w:tc>
        <w:tc>
          <w:tcPr>
            <w:tcW w:w="562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（一）人员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注册人员郑**、林**等2人二级注册建造师证书注册在其他单位。</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（二）仪器设备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水泥标准稠度用水量试验、安定性试验缺代用法维卡仪（实际未使用代用法开展标准稠度用水量、安定性试验工作）；水泥混凝土劈裂抗拉强度缺立方体劈裂抗拉强度夹具（实际未开展水泥混凝土立方体劈裂抗拉强度试验工作）。</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2.编号JL-010粗集料堆积密度容量筒（10L、15L）筒壁厚度不符合JTG 3432-2024要求。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3.编号QT-008塞尺检定/校准周期为一年，不符合JJG 62-2017要求。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4.编号SN-006水泥抗压抗折一体机抗折夹具支撑圆柱两端不能自由转动。</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5.编号SN-004水泥胶砂搅拌机未对搅拌叶片翅厚度校准。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6.粗集料密度及吸水率试验（网篮法）缺盛水容器和直径不大于1mm的细线。</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7.土工室编号TG-015电子天平缺仪器使用记录。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（三）试验检测环境</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水泥混凝土室检测环境条件标识为20℃±5℃，不符合水泥凝结时间试验要求。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（四）报告和记录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1.细集料试验检测记录表检测与记录同一人，无复诵人员。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2.水泥标准稠度用水量凝结时间试验检测记录表格缺记录签字栏。</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3.集料试验检测报告和记录未注明样品缩分方法。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4.水泥胶砂强度试验检测记录缺水泥胶砂配合比等信息。</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（五）管理体系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1.程序文件缺工地试验室管理程序。</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2.化学溶液配制记录信息缺配制数量。</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3.未建立不合格试验检测结果报告台账。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70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6</w:t>
            </w:r>
          </w:p>
        </w:tc>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default" w:ascii="仿宋_GB2312" w:hAnsi="仿宋_GB2312" w:eastAsia="仿宋_GB2312" w:cs="仿宋_GB2312"/>
                <w:b/>
                <w:bCs w:val="0"/>
                <w:color w:val="auto"/>
                <w:sz w:val="20"/>
                <w:szCs w:val="20"/>
                <w:lang w:val="en" w:eastAsia="zh-CN"/>
              </w:rPr>
              <w:t>福建省武夷山昌达工程检测有限公司</w:t>
            </w:r>
          </w:p>
        </w:tc>
        <w:tc>
          <w:tcPr>
            <w:tcW w:w="88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2024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-10-25</w:t>
            </w:r>
          </w:p>
        </w:tc>
        <w:tc>
          <w:tcPr>
            <w:tcW w:w="562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（一）人员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注册人员周**监理工程师证书注册在其他单位。</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（二）仪器设备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1.水泥混凝土劈裂抗拉强度立方体劈裂抗拉强度夹具未检定/校准。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2.编号XC-028塞尺检定/校准确认周期为一年，不符合JJG 62-2017要求。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3.力学室编号LX-009电子天平、现场检测室XC-001回弹仪无仪器使用记录。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4.编号HN-002混凝土贯入阻力仪测针长度60mm,不符合JTG 3420-2020 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5.编号XC-005路面构造深度仪(人工铺砂仪)仪器设备确认表未对量砂筒容积为（25±0.15）mL确认。</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（三）试验检测环境</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水泥比表面积室无湿度控制标识、水泥混凝土室无温度湿度控制标识。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（四）报告和记录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1.水泥胶砂强度试验检测记录表格缺记录签字栏、无水泥胶砂配合比信息。</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2.铺砂法测定路面构造深度试验检测记录信息缺量砂筒容积。</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3.粗集料试验检测报告和记录未注明样品缩分方法。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（五）样品管理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编号BG-2024-GLNC030水泥留样数量4.2kg，不足6kg。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70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7</w:t>
            </w:r>
          </w:p>
        </w:tc>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福建省高速路桥工程技术有限公司</w:t>
            </w:r>
          </w:p>
        </w:tc>
        <w:tc>
          <w:tcPr>
            <w:tcW w:w="88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202</w:t>
            </w:r>
            <w:r>
              <w:rPr>
                <w:rFonts w:hint="default" w:ascii="仿宋_GB2312" w:hAnsi="仿宋_GB2312" w:eastAsia="仿宋_GB2312" w:cs="仿宋_GB2312"/>
                <w:b/>
                <w:bCs w:val="0"/>
                <w:color w:val="auto"/>
                <w:sz w:val="20"/>
                <w:szCs w:val="20"/>
                <w:lang w:val="en" w:eastAsia="zh-CN"/>
              </w:rPr>
              <w:t>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-11-5</w:t>
            </w:r>
          </w:p>
        </w:tc>
        <w:tc>
          <w:tcPr>
            <w:tcW w:w="562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（一）人员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注册人员变更6人，未对新入职人员进行上岗培训与能力有效评价。如李**对混凝土裂缝测试规程不熟悉。</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w:t>
            </w:r>
            <w:r>
              <w:rPr>
                <w:rFonts w:hint="eastAsia" w:ascii="仿宋_GB2312" w:hAnsi="仿宋_GB2312" w:eastAsia="仿宋_GB2312" w:cs="仿宋_GB2312"/>
                <w:b/>
                <w:bCs w:val="0"/>
                <w:color w:val="auto"/>
                <w:sz w:val="20"/>
                <w:szCs w:val="20"/>
                <w:lang w:val="en-US" w:eastAsia="zh"/>
                <w:woUserID w:val="2"/>
              </w:rPr>
              <w:t>二</w:t>
            </w:r>
            <w:bookmarkStart w:id="0" w:name="_GoBack"/>
            <w:bookmarkEnd w:id="0"/>
            <w:r>
              <w:rPr>
                <w:rFonts w:hint="eastAsia" w:ascii="仿宋_GB2312" w:hAnsi="仿宋_GB2312" w:eastAsia="仿宋_GB2312" w:cs="仿宋_GB2312"/>
                <w:b/>
                <w:bCs w:val="0"/>
                <w:color w:val="auto"/>
                <w:sz w:val="20"/>
                <w:szCs w:val="20"/>
                <w:lang w:val="en-US" w:eastAsia="zh-CN"/>
              </w:rPr>
              <w:t>）仪器设备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1.部分设备配置不符合要求，如编号JN-12电液式伺服抗折抗压试验机抗折夹具不符合规范要求。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2.部分设备安装不符合要求，如编号JL-5颚式破碎机放在集料室不满足通风防尘要求，编号LH-8燃烧法沥青含量测定仪未配置高温防护罩，比表面积室干燥皿未放置干燥剂。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3.未对外加剂用粗细集料进行验收。</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4.编号JN-2水泥胶砂搅拌机校准证书加砂时间为15.1秒不符合要求；混凝土磁力振动台校准参数不齐，校准确认依据不准确。</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（三）试验检测环境</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未对水泥室温湿度进行核查，现场仪器室无温度湿度控制记录。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（四）管理体系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搬迁新地址后未对质量手册进行改版。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80" w:hRule="atLeast"/>
        </w:trPr>
        <w:tc>
          <w:tcPr>
            <w:tcW w:w="70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8</w:t>
            </w:r>
          </w:p>
        </w:tc>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厦门市公路中心实验室</w:t>
            </w:r>
          </w:p>
        </w:tc>
        <w:tc>
          <w:tcPr>
            <w:tcW w:w="88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202</w:t>
            </w:r>
            <w:r>
              <w:rPr>
                <w:rFonts w:hint="default" w:ascii="仿宋_GB2312" w:hAnsi="仿宋_GB2312" w:eastAsia="仿宋_GB2312" w:cs="仿宋_GB2312"/>
                <w:b/>
                <w:bCs w:val="0"/>
                <w:color w:val="auto"/>
                <w:sz w:val="20"/>
                <w:szCs w:val="20"/>
                <w:lang w:val="en" w:eastAsia="zh-CN"/>
              </w:rPr>
              <w:t>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-11-</w:t>
            </w:r>
            <w:r>
              <w:rPr>
                <w:rFonts w:hint="default" w:ascii="仿宋_GB2312" w:hAnsi="仿宋_GB2312" w:eastAsia="仿宋_GB2312" w:cs="仿宋_GB2312"/>
                <w:b/>
                <w:bCs w:val="0"/>
                <w:color w:val="auto"/>
                <w:sz w:val="20"/>
                <w:szCs w:val="20"/>
                <w:lang w:val="en" w:eastAsia="zh-CN"/>
              </w:rPr>
              <w:t>5</w:t>
            </w:r>
          </w:p>
        </w:tc>
        <w:tc>
          <w:tcPr>
            <w:tcW w:w="562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（一）人员</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该机构单位性质为非独立法人，陈*等10名注册人员为劳务派遣人员，不符合公路水运工程质量检测管理办法要求。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（二）仪器设备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1.部分仪器设备未检校。如土工室仅检校承载比试验仪、路强仪，水泥室仅检校胶砂抗折抗压试验机。</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2.自2022年9月以来，未按新标准要求进行仪器设备更新。如水泥胶砂搅拌机、集料磨光机、洛杉矶磨耗仪等。</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（三）管理体系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自2022年9月以来，未开展试验检测业务,质量管理体系未有效运行。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0" w:hRule="atLeast"/>
        </w:trPr>
        <w:tc>
          <w:tcPr>
            <w:tcW w:w="70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9</w:t>
            </w:r>
          </w:p>
        </w:tc>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健研检测集团有限公司</w:t>
            </w:r>
          </w:p>
        </w:tc>
        <w:tc>
          <w:tcPr>
            <w:tcW w:w="88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检测机构是否存在超资质范围承揽业务；人员资格使用是否规范；试验检测报告是否真实等</w:t>
            </w:r>
          </w:p>
        </w:tc>
        <w:tc>
          <w:tcPr>
            <w:tcW w:w="88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202</w:t>
            </w:r>
            <w:r>
              <w:rPr>
                <w:rFonts w:hint="default" w:ascii="仿宋_GB2312" w:hAnsi="仿宋_GB2312" w:eastAsia="仿宋_GB2312" w:cs="仿宋_GB2312"/>
                <w:b/>
                <w:bCs w:val="0"/>
                <w:color w:val="auto"/>
                <w:sz w:val="20"/>
                <w:szCs w:val="20"/>
                <w:lang w:val="en" w:eastAsia="zh-CN"/>
              </w:rPr>
              <w:t>4</w:t>
            </w:r>
          </w:p>
          <w:p>
            <w:pPr>
              <w:keepNext w:val="0"/>
              <w:keepLines w:val="0"/>
              <w:pageBreakBefore w:val="0"/>
              <w:widowControl/>
              <w:kinsoku/>
              <w:wordWrap/>
              <w:overflowPunct/>
              <w:topLinePunct w:val="0"/>
              <w:autoSpaceDE/>
              <w:autoSpaceDN/>
              <w:bidi w:val="0"/>
              <w:adjustRightInd/>
              <w:snapToGrid/>
              <w:spacing w:line="320" w:lineRule="atLeast"/>
              <w:jc w:val="center"/>
              <w:textAlignment w:val="baseline"/>
              <w:rPr>
                <w:rFonts w:hint="default" w:ascii="仿宋_GB2312" w:hAnsi="仿宋_GB2312" w:eastAsia="仿宋_GB2312" w:cs="仿宋_GB2312"/>
                <w:b/>
                <w:bCs w:val="0"/>
                <w:color w:val="auto"/>
                <w:sz w:val="20"/>
                <w:szCs w:val="20"/>
                <w:lang w:val="en" w:eastAsia="zh-CN"/>
              </w:rPr>
            </w:pPr>
            <w:r>
              <w:rPr>
                <w:rFonts w:hint="eastAsia" w:ascii="仿宋_GB2312" w:hAnsi="仿宋_GB2312" w:eastAsia="仿宋_GB2312" w:cs="仿宋_GB2312"/>
                <w:b/>
                <w:bCs w:val="0"/>
                <w:color w:val="auto"/>
                <w:sz w:val="20"/>
                <w:szCs w:val="20"/>
                <w:lang w:val="en-US" w:eastAsia="zh-CN"/>
              </w:rPr>
              <w:t>-11-7</w:t>
            </w:r>
          </w:p>
        </w:tc>
        <w:tc>
          <w:tcPr>
            <w:tcW w:w="562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（一）仪器设备</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1.编号TAJ95-5橡塑台式测厚仪参数校准不全，未对6mm测量面直径进行校准。</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2.编号LQA0107-3钢绞线试验机用引伸计的校准结果未依据GB/T 21839-2019标准要求进行确认。</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（二）报告和记录</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1.隧道超前地质预报（地震波反射法）原始记录中未记录接收孔桩号与掌子面桩号里程信息；隧道监控量测原始记录中缺应力计算过程。</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2.桥梁静动载试验检测报告中动力响应试验检测桥梁冲击系数每个车速工况仅进行了1次试验，不符合JTG/T J21-01-2015要求。</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（三）管理体系</w:t>
            </w:r>
          </w:p>
          <w:p>
            <w:pPr>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仿宋_GB2312" w:hAnsi="仿宋_GB2312" w:eastAsia="仿宋_GB2312" w:cs="仿宋_GB2312"/>
                <w:b/>
                <w:bCs w:val="0"/>
                <w:color w:val="auto"/>
                <w:sz w:val="20"/>
                <w:szCs w:val="20"/>
                <w:lang w:val="en-US" w:eastAsia="zh-CN"/>
              </w:rPr>
            </w:pPr>
            <w:r>
              <w:rPr>
                <w:rFonts w:hint="eastAsia" w:ascii="仿宋_GB2312" w:hAnsi="仿宋_GB2312" w:eastAsia="仿宋_GB2312" w:cs="仿宋_GB2312"/>
                <w:b/>
                <w:bCs w:val="0"/>
                <w:color w:val="auto"/>
                <w:sz w:val="20"/>
                <w:szCs w:val="20"/>
                <w:lang w:val="en-US" w:eastAsia="zh-CN"/>
              </w:rPr>
              <w:t>《JYT2-27-L样品管理程序（4.5样品的交接和流转）》中规定样品交接采用“检验检测委托书”与检测人员进行交接，而与《JYT3g-26-L公路水运工程试验检测管理规定（6.3样品流转与任务分发）》中规定用“试验检测任务单”与检测人员进行交接，两者矛盾。</w:t>
            </w:r>
          </w:p>
        </w:tc>
      </w:tr>
    </w:tbl>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MTlmOTAzODMwMjQ1NDJkZTBiY2JiZGNiYTk0NTQifQ=="/>
  </w:docVars>
  <w:rsids>
    <w:rsidRoot w:val="24A65EB6"/>
    <w:rsid w:val="24A65EB6"/>
    <w:rsid w:val="38AC6499"/>
    <w:rsid w:val="6273C633"/>
    <w:rsid w:val="7D673717"/>
    <w:rsid w:val="7FFE5443"/>
    <w:rsid w:val="CFFF215E"/>
    <w:rsid w:val="F66C37DB"/>
    <w:rsid w:val="F9FB27F2"/>
    <w:rsid w:val="FAEDC917"/>
    <w:rsid w:val="FEB8D151"/>
    <w:rsid w:val="FF11F5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仿宋_GB2312" w:cs="Times New Roman"/>
      <w:kern w:val="1"/>
      <w:sz w:val="28"/>
      <w:szCs w:val="2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NormalCharacter"/>
    <w:qFormat/>
    <w:uiPriority w:val="0"/>
  </w:style>
  <w:style w:type="paragraph" w:styleId="7">
    <w:name w:val="List Paragraph"/>
    <w:basedOn w:val="1"/>
    <w:qFormat/>
    <w:uiPriority w:val="34"/>
    <w:pPr>
      <w:ind w:firstLine="420" w:firstLineChars="200"/>
    </w:pPr>
  </w:style>
  <w:style w:type="paragraph" w:customStyle="1" w:styleId="8">
    <w:name w:val="列表段落1"/>
    <w:basedOn w:val="1"/>
    <w:qFormat/>
    <w:uiPriority w:val="0"/>
    <w:pPr>
      <w:widowControl w:val="0"/>
      <w:ind w:firstLine="420" w:firstLineChars="200"/>
      <w:textAlignment w:val="auto"/>
    </w:pPr>
    <w:rPr>
      <w:rFonts w:ascii="等线" w:hAnsi="等线" w:eastAsia="等线"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4361</Words>
  <Characters>5350</Characters>
  <Lines>0</Lines>
  <Paragraphs>0</Paragraphs>
  <TotalTime>25</TotalTime>
  <ScaleCrop>false</ScaleCrop>
  <LinksUpToDate>false</LinksUpToDate>
  <CharactersWithSpaces>5371</CharactersWithSpaces>
  <Application>WPS Office WWO_wpscloud_20240914162838-460cc54746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2024-11-16T19:22:00Z</dcterms:created>
  <dc:creator>李哲熙</dc:creator>
  <cp:lastModifiedBy>李哲熙</cp:lastModifiedBy>
  <dcterms:modified xsi:type="dcterms:W3CDTF">2024-11-22T10:14:55Z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AA4996C78C7279CC71883E679C74791D</vt:lpwstr>
  </property>
</Properties>
</file>